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E64D" w14:textId="17F319EB" w:rsidR="007C1E88" w:rsidRDefault="007C1E88">
      <w:r>
        <w:rPr>
          <w:noProof/>
        </w:rPr>
        <mc:AlternateContent>
          <mc:Choice Requires="wps">
            <w:drawing>
              <wp:anchor distT="0" distB="0" distL="114300" distR="114300" simplePos="0" relativeHeight="251658241" behindDoc="0" locked="0" layoutInCell="1" allowOverlap="1" wp14:anchorId="64361221" wp14:editId="363B0E06">
                <wp:simplePos x="0" y="0"/>
                <wp:positionH relativeFrom="column">
                  <wp:posOffset>-103505</wp:posOffset>
                </wp:positionH>
                <wp:positionV relativeFrom="page">
                  <wp:posOffset>498937</wp:posOffset>
                </wp:positionV>
                <wp:extent cx="3137535" cy="519430"/>
                <wp:effectExtent l="0" t="0" r="0" b="0"/>
                <wp:wrapNone/>
                <wp:docPr id="6658504" name="Text Box 6658504"/>
                <wp:cNvGraphicFramePr/>
                <a:graphic xmlns:a="http://schemas.openxmlformats.org/drawingml/2006/main">
                  <a:graphicData uri="http://schemas.microsoft.com/office/word/2010/wordprocessingShape">
                    <wps:wsp>
                      <wps:cNvSpPr txBox="1"/>
                      <wps:spPr>
                        <a:xfrm>
                          <a:off x="0" y="0"/>
                          <a:ext cx="3137535" cy="519430"/>
                        </a:xfrm>
                        <a:prstGeom prst="rect">
                          <a:avLst/>
                        </a:prstGeom>
                        <a:noFill/>
                      </wps:spPr>
                      <wps:txbx>
                        <w:txbxContent>
                          <w:p w14:paraId="2BB43451" w14:textId="5DB9070E" w:rsidR="007C1E88" w:rsidRPr="007C1E88" w:rsidRDefault="007C1E88">
                            <w:pPr>
                              <w:rPr>
                                <w:color w:val="FFFFFF" w:themeColor="background1"/>
                                <w:sz w:val="48"/>
                                <w:szCs w:val="48"/>
                              </w:rPr>
                            </w:pPr>
                            <w:r w:rsidRPr="007C1E88">
                              <w:rPr>
                                <w:color w:val="FFFFFF" w:themeColor="background1"/>
                                <w:sz w:val="48"/>
                                <w:szCs w:val="48"/>
                              </w:rPr>
                              <w:t>R</w:t>
                            </w:r>
                            <w:r w:rsidR="008C30D5">
                              <w:rPr>
                                <w:color w:val="FFFFFF" w:themeColor="background1"/>
                                <w:sz w:val="48"/>
                                <w:szCs w:val="48"/>
                              </w:rPr>
                              <w:t>CS</w:t>
                            </w:r>
                            <w:r w:rsidRPr="007C1E88">
                              <w:rPr>
                                <w:color w:val="FFFFFF" w:themeColor="background1"/>
                                <w:sz w:val="48"/>
                                <w:szCs w:val="48"/>
                              </w:rPr>
                              <w:t xml:space="preserve"> Tip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361221" id="_x0000_t202" coordsize="21600,21600" o:spt="202" path="m,l,21600r21600,l21600,xe">
                <v:stroke joinstyle="miter"/>
                <v:path gradientshapeok="t" o:connecttype="rect"/>
              </v:shapetype>
              <v:shape id="Text Box 6658504" o:spid="_x0000_s1026" type="#_x0000_t202" style="position:absolute;margin-left:-8.15pt;margin-top:39.3pt;width:247.05pt;height:40.9pt;z-index:251658241;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" filled="f" stroked="f">
                <v:textbox>
                  <w:txbxContent>
                    <w:p w14:paraId="2BB43451" w14:textId="5DB9070E" w:rsidR="007C1E88" w:rsidRPr="007C1E88" w:rsidRDefault="007C1E88">
                      <w:pPr>
                        <w:rPr>
                          <w:color w:val="FFFFFF" w:themeColor="background1"/>
                          <w:sz w:val="48"/>
                          <w:szCs w:val="48"/>
                        </w:rPr>
                      </w:pPr>
                      <w:r w:rsidRPr="007C1E88">
                        <w:rPr>
                          <w:color w:val="FFFFFF" w:themeColor="background1"/>
                          <w:sz w:val="48"/>
                          <w:szCs w:val="48"/>
                        </w:rPr>
                        <w:t>R</w:t>
                      </w:r>
                      <w:r w:rsidR="008C30D5">
                        <w:rPr>
                          <w:color w:val="FFFFFF" w:themeColor="background1"/>
                          <w:sz w:val="48"/>
                          <w:szCs w:val="48"/>
                        </w:rPr>
                        <w:t>CS</w:t>
                      </w:r>
                      <w:r w:rsidRPr="007C1E88">
                        <w:rPr>
                          <w:color w:val="FFFFFF" w:themeColor="background1"/>
                          <w:sz w:val="48"/>
                          <w:szCs w:val="48"/>
                        </w:rPr>
                        <w:t xml:space="preserve"> Tip Card</w:t>
                      </w:r>
                    </w:p>
                  </w:txbxContent>
                </v:textbox>
                <w10:wrap anchory="page"/>
              </v:shape>
            </w:pict>
          </mc:Fallback>
        </mc:AlternateContent>
      </w:r>
      <w:r w:rsidRPr="005706D4">
        <w:rPr>
          <w:noProof/>
        </w:rPr>
        <w:drawing>
          <wp:anchor distT="0" distB="0" distL="114300" distR="114300" simplePos="0" relativeHeight="251658240" behindDoc="1" locked="0" layoutInCell="1" allowOverlap="1" wp14:anchorId="207C1D52" wp14:editId="3D783CB2">
            <wp:simplePos x="0" y="0"/>
            <wp:positionH relativeFrom="column">
              <wp:posOffset>-935182</wp:posOffset>
            </wp:positionH>
            <wp:positionV relativeFrom="page">
              <wp:posOffset>20955</wp:posOffset>
            </wp:positionV>
            <wp:extent cx="7822565" cy="1420495"/>
            <wp:effectExtent l="0" t="0" r="0" b="0"/>
            <wp:wrapNone/>
            <wp:docPr id="1" name="Picture 1" descr="A blue and green rectangl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rectangle with black bord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22565" cy="1420495"/>
                    </a:xfrm>
                    <a:prstGeom prst="rect">
                      <a:avLst/>
                    </a:prstGeom>
                  </pic:spPr>
                </pic:pic>
              </a:graphicData>
            </a:graphic>
            <wp14:sizeRelH relativeFrom="page">
              <wp14:pctWidth>0</wp14:pctWidth>
            </wp14:sizeRelH>
            <wp14:sizeRelV relativeFrom="page">
              <wp14:pctHeight>0</wp14:pctHeight>
            </wp14:sizeRelV>
          </wp:anchor>
        </w:drawing>
      </w:r>
    </w:p>
    <w:sdt>
      <w:sdtPr>
        <w:id w:val="215560507"/>
        <w:docPartObj>
          <w:docPartGallery w:val="Cover Pages"/>
          <w:docPartUnique/>
        </w:docPartObj>
      </w:sdtPr>
      <w:sdtEndPr>
        <w:rPr>
          <w:vertAlign w:val="subscript"/>
        </w:rPr>
      </w:sdtEndPr>
      <w:sdtContent>
        <w:p w14:paraId="51882C78" w14:textId="30F39FE2" w:rsidR="00A423F6" w:rsidRDefault="001D210F">
          <w:pPr>
            <w:rPr>
              <w:vertAlign w:val="subscript"/>
            </w:rPr>
          </w:pPr>
        </w:p>
      </w:sdtContent>
    </w:sdt>
    <w:p w14:paraId="1CAD2278" w14:textId="77777777" w:rsidR="007C1E88" w:rsidRDefault="007C1E88">
      <w:pPr>
        <w:rPr>
          <w:vertAlign w:val="subscript"/>
        </w:rPr>
      </w:pPr>
    </w:p>
    <w:p w14:paraId="38F6552B" w14:textId="77777777" w:rsidR="007C1E88" w:rsidRDefault="007C1E88">
      <w:pPr>
        <w:rPr>
          <w:vertAlign w:val="subscript"/>
        </w:rPr>
      </w:pPr>
    </w:p>
    <w:p w14:paraId="4B9E0861" w14:textId="77777777" w:rsidR="007C1E88" w:rsidRPr="0039674A" w:rsidRDefault="007C1E88"/>
    <w:tbl>
      <w:tblPr>
        <w:tblStyle w:val="TableGrid"/>
        <w:tblW w:w="0" w:type="auto"/>
        <w:tblLayout w:type="fixed"/>
        <w:tblCellMar>
          <w:bottom w:w="115" w:type="dxa"/>
        </w:tblCellMar>
        <w:tblLook w:val="04A0" w:firstRow="1" w:lastRow="0" w:firstColumn="1" w:lastColumn="0" w:noHBand="0" w:noVBand="1"/>
      </w:tblPr>
      <w:tblGrid>
        <w:gridCol w:w="2065"/>
        <w:gridCol w:w="7285"/>
      </w:tblGrid>
      <w:tr w:rsidR="00A62BD7" w:rsidRPr="00A62BD7" w14:paraId="74EC69F3" w14:textId="77777777" w:rsidTr="007C1E88">
        <w:trPr>
          <w:trHeight w:val="800"/>
        </w:trPr>
        <w:tc>
          <w:tcPr>
            <w:tcW w:w="9350" w:type="dxa"/>
            <w:gridSpan w:val="2"/>
            <w:shd w:val="clear" w:color="auto" w:fill="34B233" w:themeFill="accent4"/>
            <w:vAlign w:val="center"/>
          </w:tcPr>
          <w:p w14:paraId="53D3CBFA" w14:textId="77777777" w:rsidR="003C56ED" w:rsidRPr="003C56ED" w:rsidRDefault="003C56ED" w:rsidP="003C56ED">
            <w:pPr>
              <w:pStyle w:val="Default"/>
              <w:rPr>
                <w:color w:val="FFFFFF" w:themeColor="background1"/>
              </w:rPr>
            </w:pPr>
          </w:p>
          <w:p w14:paraId="3E3E3E64" w14:textId="7F452862" w:rsidR="00A62BD7" w:rsidRPr="003C56ED" w:rsidRDefault="003C56ED" w:rsidP="003C56ED">
            <w:pPr>
              <w:pStyle w:val="Heading3"/>
              <w:jc w:val="center"/>
              <w:rPr>
                <w:rFonts w:cstheme="minorHAnsi"/>
                <w:color w:val="FFFFFF" w:themeColor="background1"/>
                <w:sz w:val="20"/>
                <w:szCs w:val="20"/>
              </w:rPr>
            </w:pPr>
            <w:r w:rsidRPr="003C56ED">
              <w:rPr>
                <w:color w:val="FFFFFF" w:themeColor="background1"/>
              </w:rPr>
              <w:t xml:space="preserve"> </w:t>
            </w:r>
            <w:r w:rsidRPr="003C56ED">
              <w:rPr>
                <w:b/>
                <w:bCs/>
                <w:color w:val="FFFFFF" w:themeColor="background1"/>
                <w:sz w:val="36"/>
                <w:szCs w:val="36"/>
              </w:rPr>
              <w:t>Social Determinants of Health (SDOH) Tip Card</w:t>
            </w:r>
          </w:p>
        </w:tc>
      </w:tr>
      <w:tr w:rsidR="00A62BD7" w:rsidRPr="00CC7F9C" w14:paraId="0125C5AC" w14:textId="77777777" w:rsidTr="00A62BD7">
        <w:trPr>
          <w:trHeight w:val="485"/>
        </w:trPr>
        <w:tc>
          <w:tcPr>
            <w:tcW w:w="2065" w:type="dxa"/>
            <w:shd w:val="clear" w:color="auto" w:fill="008B95" w:themeFill="accent3"/>
            <w:vAlign w:val="center"/>
          </w:tcPr>
          <w:p w14:paraId="34E392E0" w14:textId="60D0616E" w:rsidR="00A62BD7" w:rsidRPr="00A62BD7" w:rsidRDefault="00A62BD7" w:rsidP="00A62BD7">
            <w:pPr>
              <w:jc w:val="center"/>
              <w:rPr>
                <w:color w:val="FFFFFF" w:themeColor="background1"/>
                <w:vertAlign w:val="subscript"/>
              </w:rPr>
            </w:pPr>
            <w:r w:rsidRPr="00A62BD7">
              <w:rPr>
                <w:color w:val="FFFFFF" w:themeColor="background1"/>
                <w:vertAlign w:val="subscript"/>
              </w:rPr>
              <w:t>WHAT</w:t>
            </w:r>
          </w:p>
        </w:tc>
        <w:tc>
          <w:tcPr>
            <w:tcW w:w="7285" w:type="dxa"/>
            <w:shd w:val="clear" w:color="auto" w:fill="FFFFFF" w:themeFill="background1"/>
            <w:vAlign w:val="center"/>
          </w:tcPr>
          <w:p w14:paraId="2CA99780" w14:textId="36394BB6" w:rsidR="00A62BD7" w:rsidRPr="00A62BD7" w:rsidRDefault="001D210F" w:rsidP="00A97C10">
            <w:pPr>
              <w:rPr>
                <w:vertAlign w:val="subscript"/>
              </w:rPr>
            </w:pPr>
            <w:r>
              <w:rPr>
                <w:sz w:val="15"/>
                <w:szCs w:val="15"/>
              </w:rPr>
              <w:t>“</w:t>
            </w:r>
            <w:r w:rsidR="00A97C10">
              <w:rPr>
                <w:sz w:val="15"/>
                <w:szCs w:val="15"/>
              </w:rPr>
              <w:t>Social determinants of health (SDOH) are the nonmedical factors that influence health outcomes. They are the conditions in which people are born, grow, work, live, and age, and the wider set of forces and systems shaping the conditions of daily life. These forces and systems include economic policies and systems, development agendas, social norms, social policies, racism, climate change, and political systems” (Centers for Disease Control and Prevention [CDC], 2022).</w:t>
            </w:r>
          </w:p>
        </w:tc>
      </w:tr>
      <w:tr w:rsidR="00A62BD7" w:rsidRPr="00CC7F9C" w14:paraId="1439441C" w14:textId="77777777" w:rsidTr="00A62BD7">
        <w:trPr>
          <w:trHeight w:val="484"/>
        </w:trPr>
        <w:tc>
          <w:tcPr>
            <w:tcW w:w="2065" w:type="dxa"/>
            <w:shd w:val="clear" w:color="auto" w:fill="005BBB" w:themeFill="accent6"/>
            <w:vAlign w:val="center"/>
          </w:tcPr>
          <w:p w14:paraId="2BE438A2" w14:textId="3C3FD624" w:rsidR="00A62BD7" w:rsidRPr="00A62BD7" w:rsidRDefault="00A62BD7" w:rsidP="00A62BD7">
            <w:pPr>
              <w:jc w:val="center"/>
              <w:rPr>
                <w:color w:val="FFFFFF" w:themeColor="background1"/>
                <w:vertAlign w:val="subscript"/>
              </w:rPr>
            </w:pPr>
            <w:r w:rsidRPr="00A62BD7">
              <w:rPr>
                <w:color w:val="FFFFFF" w:themeColor="background1"/>
                <w:vertAlign w:val="subscript"/>
              </w:rPr>
              <w:t>WHY</w:t>
            </w:r>
          </w:p>
        </w:tc>
        <w:tc>
          <w:tcPr>
            <w:tcW w:w="7285" w:type="dxa"/>
            <w:shd w:val="clear" w:color="auto" w:fill="FFFFFF" w:themeFill="background1"/>
            <w:vAlign w:val="center"/>
          </w:tcPr>
          <w:p w14:paraId="11BC6E71" w14:textId="77777777" w:rsidR="00635A9F" w:rsidRDefault="00635A9F" w:rsidP="00635A9F">
            <w:pPr>
              <w:pStyle w:val="Default"/>
            </w:pPr>
          </w:p>
          <w:p w14:paraId="0C034E9C" w14:textId="4F1A5F9C" w:rsidR="00635A9F" w:rsidRDefault="00635A9F" w:rsidP="001D210F">
            <w:pPr>
              <w:numPr>
                <w:ilvl w:val="0"/>
                <w:numId w:val="17"/>
              </w:numPr>
              <w:ind w:left="433"/>
              <w:rPr>
                <w:vertAlign w:val="subscript"/>
              </w:rPr>
            </w:pPr>
            <w:r>
              <w:rPr>
                <w:sz w:val="16"/>
                <w:szCs w:val="16"/>
              </w:rPr>
              <w:t>30% to 55% of health outcomes are attributed to SDOH (Centers for Medicare &amp; Medicaid Services [CMS], 2023c).</w:t>
            </w:r>
          </w:p>
          <w:p w14:paraId="24B6CF3E" w14:textId="3ED1A713" w:rsidR="00A62BD7" w:rsidRPr="00635A9F" w:rsidRDefault="00635A9F" w:rsidP="001D210F">
            <w:pPr>
              <w:numPr>
                <w:ilvl w:val="0"/>
                <w:numId w:val="17"/>
              </w:numPr>
              <w:ind w:left="433"/>
              <w:rPr>
                <w:vertAlign w:val="subscript"/>
              </w:rPr>
            </w:pPr>
            <w:r w:rsidRPr="00635A9F">
              <w:rPr>
                <w:sz w:val="16"/>
                <w:szCs w:val="16"/>
              </w:rPr>
              <w:t>Nearly 90% of physicians surveyed in 2018 (The Physicians Foundation) linked their patients' serious health issues to social needs (CMS, 2023b).</w:t>
            </w:r>
          </w:p>
        </w:tc>
      </w:tr>
      <w:tr w:rsidR="00A62BD7" w:rsidRPr="00A62BD7" w14:paraId="71687A7A" w14:textId="77777777" w:rsidTr="007C1E88">
        <w:trPr>
          <w:trHeight w:val="773"/>
        </w:trPr>
        <w:tc>
          <w:tcPr>
            <w:tcW w:w="9350" w:type="dxa"/>
            <w:gridSpan w:val="2"/>
            <w:shd w:val="clear" w:color="auto" w:fill="34B233" w:themeFill="accent4"/>
            <w:vAlign w:val="center"/>
          </w:tcPr>
          <w:p w14:paraId="211D057E" w14:textId="46949AD4" w:rsidR="00A62BD7" w:rsidRPr="00A62BD7" w:rsidRDefault="001F0345" w:rsidP="00A62BD7">
            <w:pPr>
              <w:pStyle w:val="Heading3"/>
              <w:jc w:val="center"/>
              <w:rPr>
                <w:color w:val="FFFFFF" w:themeColor="background1"/>
              </w:rPr>
            </w:pPr>
            <w:r>
              <w:rPr>
                <w:color w:val="FFFFFF" w:themeColor="background1"/>
              </w:rPr>
              <w:t>Documentation tips</w:t>
            </w:r>
          </w:p>
        </w:tc>
      </w:tr>
      <w:tr w:rsidR="00A62BD7" w:rsidRPr="00FF60A5" w14:paraId="21D6F179" w14:textId="77777777" w:rsidTr="007B7B21">
        <w:trPr>
          <w:trHeight w:val="1520"/>
        </w:trPr>
        <w:tc>
          <w:tcPr>
            <w:tcW w:w="9350" w:type="dxa"/>
            <w:gridSpan w:val="2"/>
            <w:shd w:val="clear" w:color="auto" w:fill="FFFFFF" w:themeFill="background1"/>
            <w:vAlign w:val="center"/>
          </w:tcPr>
          <w:p w14:paraId="502F9F81" w14:textId="77777777" w:rsidR="00A62BD7" w:rsidRDefault="00A62BD7" w:rsidP="00C1301D">
            <w:pPr>
              <w:rPr>
                <w:rFonts w:cstheme="minorHAnsi"/>
                <w:b/>
                <w:bCs/>
                <w:sz w:val="24"/>
              </w:rPr>
            </w:pPr>
          </w:p>
          <w:p w14:paraId="27305361" w14:textId="77777777" w:rsidR="00545A50" w:rsidRPr="005C38FB" w:rsidRDefault="00545A50" w:rsidP="0075734B">
            <w:pPr>
              <w:pStyle w:val="ListParagraph"/>
              <w:numPr>
                <w:ilvl w:val="0"/>
                <w:numId w:val="10"/>
              </w:numPr>
              <w:spacing w:after="60"/>
              <w:rPr>
                <w:rFonts w:cstheme="minorHAnsi"/>
              </w:rPr>
            </w:pPr>
            <w:r w:rsidRPr="005C38FB">
              <w:rPr>
                <w:rFonts w:cstheme="minorHAnsi"/>
              </w:rPr>
              <w:t xml:space="preserve">Screening for social drivers of health </w:t>
            </w:r>
            <w:proofErr w:type="gramStart"/>
            <w:r w:rsidRPr="005C38FB">
              <w:rPr>
                <w:rFonts w:cstheme="minorHAnsi"/>
              </w:rPr>
              <w:t>are</w:t>
            </w:r>
            <w:proofErr w:type="gramEnd"/>
            <w:r w:rsidRPr="005C38FB">
              <w:rPr>
                <w:rFonts w:cstheme="minorHAnsi"/>
              </w:rPr>
              <w:t xml:space="preserve"> starting to be included in quality measures, making the identification, documentation and code assignment of all social determinants of health crucial to the continuum of quality patient care. </w:t>
            </w:r>
          </w:p>
          <w:p w14:paraId="79662B03" w14:textId="77777777" w:rsidR="00E75999" w:rsidRPr="005C38FB" w:rsidRDefault="00E75999" w:rsidP="0075734B">
            <w:pPr>
              <w:pStyle w:val="ListParagraph"/>
              <w:numPr>
                <w:ilvl w:val="0"/>
                <w:numId w:val="10"/>
              </w:numPr>
              <w:spacing w:after="60"/>
              <w:rPr>
                <w:rFonts w:cstheme="minorHAnsi"/>
              </w:rPr>
            </w:pPr>
            <w:r w:rsidRPr="005C38FB">
              <w:rPr>
                <w:rFonts w:cstheme="minorHAnsi"/>
              </w:rPr>
              <w:t xml:space="preserve">Review the social work/case management/discharge planning notes carefully and completely for SDOH. </w:t>
            </w:r>
          </w:p>
          <w:p w14:paraId="5C9FA8C3" w14:textId="547423CE" w:rsidR="00D152EF" w:rsidRPr="005C38FB" w:rsidRDefault="00E75999" w:rsidP="0075734B">
            <w:pPr>
              <w:pStyle w:val="ListParagraph"/>
              <w:numPr>
                <w:ilvl w:val="1"/>
                <w:numId w:val="10"/>
              </w:numPr>
            </w:pPr>
            <w:r w:rsidRPr="005C38FB">
              <w:t xml:space="preserve">SDOH codes (Z55-Z56) can be assigned directly from non-provider health record documentation (SW, CM, nursing, therapy, etc.). </w:t>
            </w:r>
          </w:p>
          <w:p w14:paraId="19AE7A36" w14:textId="77777777" w:rsidR="0075734B" w:rsidRPr="005C38FB" w:rsidRDefault="0075734B" w:rsidP="0075734B">
            <w:pPr>
              <w:pStyle w:val="ListParagraph"/>
              <w:numPr>
                <w:ilvl w:val="0"/>
                <w:numId w:val="10"/>
              </w:numPr>
              <w:spacing w:after="60"/>
              <w:rPr>
                <w:rFonts w:cstheme="minorHAnsi"/>
              </w:rPr>
            </w:pPr>
            <w:r w:rsidRPr="005C38FB">
              <w:rPr>
                <w:rFonts w:cstheme="minorHAnsi"/>
              </w:rPr>
              <w:t>The Screening for Social Drivers of Health measure identifies 5 core health-related social needs (HRSN) domains for Medicare and Medicaid beneficiaries under the Accountable Health Communities (AHC) model: food insecurity, housing instability, transportation needs, utility difficulties, and interpersonal safety (CMS, 2023b).</w:t>
            </w:r>
          </w:p>
          <w:p w14:paraId="4AD2156A" w14:textId="78340B0E" w:rsidR="00A62BD7" w:rsidRDefault="005C38FB" w:rsidP="005C38FB">
            <w:pPr>
              <w:pStyle w:val="ListParagraph"/>
              <w:numPr>
                <w:ilvl w:val="0"/>
                <w:numId w:val="10"/>
              </w:numPr>
              <w:rPr>
                <w:rFonts w:cstheme="minorHAnsi"/>
              </w:rPr>
            </w:pPr>
            <w:r w:rsidRPr="005C38FB">
              <w:rPr>
                <w:rFonts w:cstheme="minorHAnsi"/>
              </w:rPr>
              <w:t>It is essential to the patient that everyone who reviews their health record ensures all documented SDOH are identified to establish clear communication along the care continuum toward the goal of positive health outcomes.</w:t>
            </w:r>
            <w:r>
              <w:rPr>
                <w:rFonts w:cstheme="minorHAnsi"/>
                <w:sz w:val="16"/>
                <w:szCs w:val="16"/>
              </w:rPr>
              <w:t xml:space="preserve"> </w:t>
            </w:r>
          </w:p>
          <w:p w14:paraId="78BC751F" w14:textId="77777777" w:rsidR="00A62BD7" w:rsidRDefault="00A62BD7" w:rsidP="00C1301D">
            <w:pPr>
              <w:rPr>
                <w:rFonts w:cstheme="minorHAnsi"/>
                <w:b/>
              </w:rPr>
            </w:pPr>
          </w:p>
          <w:p w14:paraId="7C4FF0D4" w14:textId="0454A871" w:rsidR="007C1E88" w:rsidRPr="00457231" w:rsidRDefault="007C1E88" w:rsidP="00DE2D4A">
            <w:pPr>
              <w:rPr>
                <w:rFonts w:cstheme="minorHAnsi"/>
                <w:b/>
              </w:rPr>
            </w:pPr>
          </w:p>
        </w:tc>
      </w:tr>
      <w:tr w:rsidR="007D6481" w:rsidRPr="00401937" w14:paraId="5739D61E" w14:textId="77777777" w:rsidTr="007C1E88">
        <w:trPr>
          <w:trHeight w:val="346"/>
        </w:trPr>
        <w:tc>
          <w:tcPr>
            <w:tcW w:w="9350" w:type="dxa"/>
            <w:gridSpan w:val="2"/>
            <w:shd w:val="clear" w:color="auto" w:fill="34B233" w:themeFill="accent4"/>
            <w:vAlign w:val="center"/>
          </w:tcPr>
          <w:p w14:paraId="13EBC6E4" w14:textId="11D87E95" w:rsidR="007D6481" w:rsidRPr="00A62BD7" w:rsidRDefault="007D6481" w:rsidP="007D6481">
            <w:pPr>
              <w:pStyle w:val="Heading3"/>
              <w:jc w:val="center"/>
              <w:rPr>
                <w:color w:val="FFFFFF" w:themeColor="background1"/>
              </w:rPr>
            </w:pPr>
            <w:r>
              <w:rPr>
                <w:color w:val="FFFFFF" w:themeColor="background1"/>
              </w:rPr>
              <w:t>Coding tips</w:t>
            </w:r>
            <w:r w:rsidR="00F5052A">
              <w:rPr>
                <w:color w:val="FFFFFF" w:themeColor="background1"/>
              </w:rPr>
              <w:t xml:space="preserve"> </w:t>
            </w:r>
            <w:r w:rsidR="00B35332">
              <w:rPr>
                <w:color w:val="FFFFFF" w:themeColor="background1"/>
              </w:rPr>
              <w:t xml:space="preserve">                               </w:t>
            </w:r>
            <w:r w:rsidR="00F5052A" w:rsidRPr="00B35332">
              <w:rPr>
                <w:color w:val="FFFFFF" w:themeColor="background1"/>
                <w:sz w:val="10"/>
                <w:szCs w:val="10"/>
              </w:rPr>
              <w:t>Source:</w:t>
            </w:r>
            <w:r w:rsidR="002646C4" w:rsidRPr="00B35332">
              <w:rPr>
                <w:color w:val="FFFFFF" w:themeColor="background1"/>
                <w:sz w:val="10"/>
                <w:szCs w:val="10"/>
              </w:rPr>
              <w:t xml:space="preserve"> Centers of </w:t>
            </w:r>
            <w:r w:rsidR="00D2228F" w:rsidRPr="00B35332">
              <w:rPr>
                <w:color w:val="FFFFFF" w:themeColor="background1"/>
                <w:sz w:val="10"/>
                <w:szCs w:val="10"/>
              </w:rPr>
              <w:t xml:space="preserve">medicare </w:t>
            </w:r>
            <w:r w:rsidR="00062DC0" w:rsidRPr="00B35332">
              <w:rPr>
                <w:color w:val="FFFFFF" w:themeColor="background1"/>
                <w:sz w:val="10"/>
                <w:szCs w:val="10"/>
              </w:rPr>
              <w:t xml:space="preserve">and medicaid services </w:t>
            </w:r>
            <w:r w:rsidR="00E454A5" w:rsidRPr="00B35332">
              <w:rPr>
                <w:color w:val="FFFFFF" w:themeColor="background1"/>
                <w:sz w:val="10"/>
                <w:szCs w:val="10"/>
              </w:rPr>
              <w:t>(CMS)</w:t>
            </w:r>
            <w:r w:rsidR="00A83D8F" w:rsidRPr="00B35332">
              <w:rPr>
                <w:color w:val="FFFFFF" w:themeColor="background1"/>
                <w:sz w:val="10"/>
                <w:szCs w:val="10"/>
              </w:rPr>
              <w:t>, 2023a</w:t>
            </w:r>
          </w:p>
        </w:tc>
      </w:tr>
      <w:tr w:rsidR="007D6481" w:rsidRPr="00401937" w14:paraId="1DAF9F2F" w14:textId="77777777" w:rsidTr="007C1E88">
        <w:trPr>
          <w:trHeight w:val="346"/>
        </w:trPr>
        <w:tc>
          <w:tcPr>
            <w:tcW w:w="9350" w:type="dxa"/>
            <w:gridSpan w:val="2"/>
            <w:shd w:val="clear" w:color="auto" w:fill="34B233" w:themeFill="accent4"/>
            <w:vAlign w:val="center"/>
          </w:tcPr>
          <w:p w14:paraId="4DFA7D8E" w14:textId="1F505A53" w:rsidR="007D6481" w:rsidRPr="00A62BD7" w:rsidRDefault="007D6481" w:rsidP="007D6481">
            <w:pPr>
              <w:pStyle w:val="Heading3"/>
              <w:jc w:val="center"/>
              <w:rPr>
                <w:color w:val="FFFFFF" w:themeColor="background1"/>
              </w:rPr>
            </w:pPr>
            <w:r w:rsidRPr="00A62BD7">
              <w:rPr>
                <w:color w:val="FFFFFF" w:themeColor="background1"/>
              </w:rPr>
              <w:t>References:</w:t>
            </w:r>
          </w:p>
        </w:tc>
      </w:tr>
      <w:tr w:rsidR="007D6481" w:rsidRPr="00FF60A5" w14:paraId="785E492B" w14:textId="77777777" w:rsidTr="00A62BD7">
        <w:trPr>
          <w:trHeight w:val="980"/>
        </w:trPr>
        <w:tc>
          <w:tcPr>
            <w:tcW w:w="9350" w:type="dxa"/>
            <w:gridSpan w:val="2"/>
            <w:shd w:val="clear" w:color="auto" w:fill="FFFFFF" w:themeFill="background1"/>
          </w:tcPr>
          <w:p w14:paraId="322627D8" w14:textId="77777777" w:rsidR="007D6481" w:rsidRPr="00B14D01" w:rsidRDefault="007D6481" w:rsidP="007D6481">
            <w:pPr>
              <w:pStyle w:val="ListParagraph"/>
              <w:numPr>
                <w:ilvl w:val="0"/>
                <w:numId w:val="20"/>
              </w:numPr>
              <w:rPr>
                <w:rFonts w:cstheme="minorHAnsi"/>
                <w:color w:val="242424"/>
                <w:sz w:val="20"/>
                <w:szCs w:val="20"/>
                <w:shd w:val="clear" w:color="auto" w:fill="FFFFFF"/>
              </w:rPr>
            </w:pPr>
            <w:r w:rsidRPr="002C1132">
              <w:rPr>
                <w:rFonts w:cstheme="minorHAnsi"/>
                <w:color w:val="242424"/>
                <w:sz w:val="20"/>
                <w:szCs w:val="20"/>
                <w:shd w:val="clear" w:color="auto" w:fill="FFFFFF"/>
              </w:rPr>
              <w:t xml:space="preserve">Centers for Disease Control and Prevention. (2022, December 8). </w:t>
            </w:r>
            <w:r w:rsidRPr="002C1132">
              <w:rPr>
                <w:rFonts w:cstheme="minorHAnsi"/>
                <w:i/>
                <w:iCs/>
                <w:color w:val="242424"/>
                <w:sz w:val="20"/>
                <w:szCs w:val="20"/>
                <w:shd w:val="clear" w:color="auto" w:fill="FFFFFF"/>
              </w:rPr>
              <w:t>Social determinants of health at CDC</w:t>
            </w:r>
            <w:r w:rsidRPr="002C1132">
              <w:rPr>
                <w:rFonts w:cstheme="minorHAnsi"/>
                <w:color w:val="242424"/>
                <w:sz w:val="20"/>
                <w:szCs w:val="20"/>
                <w:shd w:val="clear" w:color="auto" w:fill="FFFFFF"/>
              </w:rPr>
              <w:t xml:space="preserve">. U.S. Department of Health and Human Services. Retrieved April 11, 2023, </w:t>
            </w:r>
            <w:hyperlink r:id="rId8" w:history="1">
              <w:r w:rsidRPr="002C1132">
                <w:rPr>
                  <w:rStyle w:val="Hyperlink"/>
                  <w:rFonts w:cstheme="minorHAnsi"/>
                  <w:sz w:val="20"/>
                  <w:szCs w:val="20"/>
                  <w:shd w:val="clear" w:color="auto" w:fill="FFFFFF"/>
                </w:rPr>
                <w:t>https://www.cdc.gov/about/sdoh/index.html</w:t>
              </w:r>
            </w:hyperlink>
          </w:p>
          <w:p w14:paraId="7CD35717" w14:textId="77777777" w:rsidR="007D6481" w:rsidRPr="002C1132" w:rsidRDefault="007D6481" w:rsidP="007D6481">
            <w:pPr>
              <w:pStyle w:val="ListParagraph"/>
              <w:numPr>
                <w:ilvl w:val="0"/>
                <w:numId w:val="20"/>
              </w:numPr>
              <w:rPr>
                <w:rStyle w:val="Hyperlink"/>
                <w:rFonts w:cstheme="minorHAnsi"/>
                <w:sz w:val="20"/>
                <w:szCs w:val="20"/>
              </w:rPr>
            </w:pPr>
            <w:r w:rsidRPr="002C1132">
              <w:rPr>
                <w:rFonts w:cstheme="minorHAnsi"/>
                <w:color w:val="242424"/>
                <w:sz w:val="20"/>
                <w:szCs w:val="20"/>
                <w:shd w:val="clear" w:color="auto" w:fill="FFFFFF"/>
              </w:rPr>
              <w:t>Centers for Medicare &amp; Medicaid Services. (2023</w:t>
            </w:r>
            <w:r>
              <w:rPr>
                <w:rFonts w:cstheme="minorHAnsi"/>
                <w:color w:val="242424"/>
                <w:sz w:val="20"/>
                <w:szCs w:val="20"/>
                <w:shd w:val="clear" w:color="auto" w:fill="FFFFFF"/>
              </w:rPr>
              <w:t>a</w:t>
            </w:r>
            <w:r w:rsidRPr="002C1132">
              <w:rPr>
                <w:rFonts w:cstheme="minorHAnsi"/>
                <w:color w:val="242424"/>
                <w:sz w:val="20"/>
                <w:szCs w:val="20"/>
                <w:shd w:val="clear" w:color="auto" w:fill="FFFFFF"/>
              </w:rPr>
              <w:t>, January 11). </w:t>
            </w:r>
            <w:r w:rsidRPr="002C1132">
              <w:rPr>
                <w:rFonts w:cstheme="minorHAnsi"/>
                <w:i/>
                <w:iCs/>
                <w:color w:val="242424"/>
                <w:sz w:val="20"/>
                <w:szCs w:val="20"/>
                <w:shd w:val="clear" w:color="auto" w:fill="FFFFFF"/>
              </w:rPr>
              <w:t xml:space="preserve">2023 ICD-10-CM. April 1, </w:t>
            </w:r>
            <w:proofErr w:type="gramStart"/>
            <w:r w:rsidRPr="002C1132">
              <w:rPr>
                <w:rFonts w:cstheme="minorHAnsi"/>
                <w:i/>
                <w:iCs/>
                <w:color w:val="242424"/>
                <w:sz w:val="20"/>
                <w:szCs w:val="20"/>
                <w:shd w:val="clear" w:color="auto" w:fill="FFFFFF"/>
              </w:rPr>
              <w:t>2023</w:t>
            </w:r>
            <w:proofErr w:type="gramEnd"/>
            <w:r w:rsidRPr="002C1132">
              <w:rPr>
                <w:rFonts w:cstheme="minorHAnsi"/>
                <w:i/>
                <w:iCs/>
                <w:color w:val="242424"/>
                <w:sz w:val="20"/>
                <w:szCs w:val="20"/>
                <w:shd w:val="clear" w:color="auto" w:fill="FFFFFF"/>
              </w:rPr>
              <w:t xml:space="preserve"> update</w:t>
            </w:r>
            <w:r w:rsidRPr="002C1132">
              <w:rPr>
                <w:rFonts w:cstheme="minorHAnsi"/>
                <w:color w:val="242424"/>
                <w:sz w:val="20"/>
                <w:szCs w:val="20"/>
                <w:shd w:val="clear" w:color="auto" w:fill="FFFFFF"/>
              </w:rPr>
              <w:t xml:space="preserve">. Choose desired document(s) from downloads list on website: “FY </w:t>
            </w:r>
            <w:r w:rsidRPr="002C1132">
              <w:rPr>
                <w:rFonts w:cstheme="minorHAnsi"/>
                <w:color w:val="242424"/>
                <w:sz w:val="20"/>
                <w:szCs w:val="20"/>
                <w:shd w:val="clear" w:color="auto" w:fill="FFFFFF"/>
              </w:rPr>
              <w:lastRenderedPageBreak/>
              <w:t>2023 ICD-10-CM Coding Guidelines – updated 01/11/2023 (PDF)” or “2023 Code Tables, Tabular, and Index – updated 01/11/2023 (ZIP)”. Retrieved January 23, 2023, </w:t>
            </w:r>
            <w:hyperlink r:id="rId9" w:tgtFrame="_blank" w:tooltip="https://www.cms.gov/medicare/icd-10/2023-icd-10-cm" w:history="1">
              <w:r w:rsidRPr="002C1132">
                <w:rPr>
                  <w:rStyle w:val="Hyperlink"/>
                  <w:rFonts w:cstheme="minorHAnsi"/>
                  <w:color w:val="4F52B2"/>
                  <w:sz w:val="20"/>
                  <w:szCs w:val="20"/>
                  <w:bdr w:val="none" w:sz="0" w:space="0" w:color="auto" w:frame="1"/>
                  <w:shd w:val="clear" w:color="auto" w:fill="FFFFFF"/>
                </w:rPr>
                <w:t>https://www.cms.gov/medicare/icd-10/2023-icd-10-cm</w:t>
              </w:r>
            </w:hyperlink>
          </w:p>
          <w:p w14:paraId="52C11473" w14:textId="77777777" w:rsidR="007D6481" w:rsidRPr="00231890" w:rsidRDefault="007D6481" w:rsidP="007D6481">
            <w:pPr>
              <w:pStyle w:val="ListParagraph"/>
              <w:numPr>
                <w:ilvl w:val="0"/>
                <w:numId w:val="20"/>
              </w:numPr>
              <w:rPr>
                <w:rFonts w:cstheme="minorHAnsi"/>
                <w:sz w:val="20"/>
                <w:szCs w:val="20"/>
              </w:rPr>
            </w:pPr>
            <w:r w:rsidRPr="002C1132">
              <w:rPr>
                <w:rFonts w:cstheme="minorHAnsi"/>
                <w:color w:val="212121"/>
                <w:sz w:val="20"/>
                <w:szCs w:val="20"/>
                <w:shd w:val="clear" w:color="auto" w:fill="FFFFFF"/>
              </w:rPr>
              <w:t xml:space="preserve">Centers for Medicare &amp; Medicaid Services. (2023b, March 10). </w:t>
            </w:r>
            <w:r w:rsidRPr="00E47681">
              <w:rPr>
                <w:rFonts w:cstheme="minorHAnsi"/>
                <w:i/>
                <w:iCs/>
                <w:color w:val="212121"/>
                <w:sz w:val="20"/>
                <w:szCs w:val="20"/>
                <w:shd w:val="clear" w:color="auto" w:fill="FFFFFF"/>
              </w:rPr>
              <w:t>FY 2023 IPPS final rule home page</w:t>
            </w:r>
            <w:r w:rsidRPr="002C1132">
              <w:rPr>
                <w:rFonts w:cstheme="minorHAnsi"/>
                <w:color w:val="212121"/>
                <w:sz w:val="20"/>
                <w:szCs w:val="20"/>
                <w:shd w:val="clear" w:color="auto" w:fill="FFFFFF"/>
              </w:rPr>
              <w:t xml:space="preserve">. Download “CMS 1771-F (PDF)”. U.S. Department of Health and Human Services. Retrieved April 12, 2023, </w:t>
            </w:r>
            <w:hyperlink r:id="rId10" w:history="1">
              <w:r w:rsidRPr="00FB1A28">
                <w:rPr>
                  <w:rStyle w:val="Hyperlink"/>
                  <w:rFonts w:cstheme="minorHAnsi"/>
                  <w:sz w:val="20"/>
                  <w:szCs w:val="20"/>
                  <w:shd w:val="clear" w:color="auto" w:fill="FFFFFF"/>
                </w:rPr>
                <w:t>https://www.cms.gov/medicare/acute-inpatient-pps/fy-2023-ipps-final-rule-home-page</w:t>
              </w:r>
            </w:hyperlink>
            <w:r>
              <w:rPr>
                <w:rFonts w:cstheme="minorHAnsi"/>
                <w:color w:val="212121"/>
                <w:sz w:val="20"/>
                <w:szCs w:val="20"/>
                <w:shd w:val="clear" w:color="auto" w:fill="FFFFFF"/>
              </w:rPr>
              <w:t xml:space="preserve"> </w:t>
            </w:r>
          </w:p>
          <w:p w14:paraId="543A6CCC" w14:textId="77777777" w:rsidR="007D6481" w:rsidRPr="00231890" w:rsidRDefault="007D6481" w:rsidP="007D6481">
            <w:pPr>
              <w:pStyle w:val="ListParagraph"/>
              <w:numPr>
                <w:ilvl w:val="0"/>
                <w:numId w:val="20"/>
              </w:numPr>
              <w:rPr>
                <w:rFonts w:cstheme="minorHAnsi"/>
                <w:sz w:val="20"/>
                <w:szCs w:val="20"/>
              </w:rPr>
            </w:pPr>
            <w:r w:rsidRPr="00231890">
              <w:rPr>
                <w:rFonts w:cstheme="minorHAnsi"/>
                <w:sz w:val="20"/>
                <w:szCs w:val="20"/>
              </w:rPr>
              <w:t xml:space="preserve">Centers for Medicare &amp; Medicaid Services. (2023c, April 10). </w:t>
            </w:r>
            <w:r w:rsidRPr="00231890">
              <w:rPr>
                <w:rFonts w:cstheme="minorHAnsi"/>
                <w:i/>
                <w:iCs/>
                <w:sz w:val="20"/>
                <w:szCs w:val="20"/>
              </w:rPr>
              <w:t>FY 2024 IPPS proposed rule home page</w:t>
            </w:r>
            <w:r w:rsidRPr="00231890">
              <w:rPr>
                <w:rFonts w:cstheme="minorHAnsi"/>
                <w:sz w:val="20"/>
                <w:szCs w:val="20"/>
              </w:rPr>
              <w:t xml:space="preserve">. Download “CMS-1785-P”. U.S. Department of Health and Human Services. Retrieved April 11, 2023, </w:t>
            </w:r>
            <w:hyperlink r:id="rId11" w:history="1">
              <w:r w:rsidRPr="00231890">
                <w:rPr>
                  <w:rStyle w:val="Hyperlink"/>
                  <w:rFonts w:cstheme="minorHAnsi"/>
                  <w:sz w:val="20"/>
                  <w:szCs w:val="20"/>
                </w:rPr>
                <w:t>https://www.cms.gov/medicare/acute-inpatient-pps/fy-2024-ipps-proposed-rule-home-page</w:t>
              </w:r>
            </w:hyperlink>
          </w:p>
          <w:p w14:paraId="757A8571" w14:textId="6A96B18C" w:rsidR="007D6481" w:rsidRPr="00514C5C" w:rsidRDefault="007D6481" w:rsidP="007D6481">
            <w:pPr>
              <w:pStyle w:val="NoSpacing"/>
              <w:rPr>
                <w:rFonts w:cstheme="minorHAnsi"/>
                <w:color w:val="FFFFFF" w:themeColor="background1"/>
              </w:rPr>
            </w:pPr>
          </w:p>
        </w:tc>
      </w:tr>
    </w:tbl>
    <w:p w14:paraId="119AC8E5" w14:textId="7DE2202F" w:rsidR="00B6419A" w:rsidRPr="009150A1" w:rsidRDefault="00B6419A" w:rsidP="0020573C">
      <w:pPr>
        <w:rPr>
          <w:vertAlign w:val="subscript"/>
        </w:rPr>
      </w:pPr>
    </w:p>
    <w:sectPr w:rsidR="00B6419A" w:rsidRPr="009150A1" w:rsidSect="008C114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437D" w14:textId="77777777" w:rsidR="00E614A2" w:rsidRDefault="00E614A2" w:rsidP="00B72B45">
      <w:r>
        <w:separator/>
      </w:r>
    </w:p>
  </w:endnote>
  <w:endnote w:type="continuationSeparator" w:id="0">
    <w:p w14:paraId="4C1601B0" w14:textId="77777777" w:rsidR="00E614A2" w:rsidRDefault="00E614A2" w:rsidP="00B72B45">
      <w:r>
        <w:continuationSeparator/>
      </w:r>
    </w:p>
  </w:endnote>
  <w:endnote w:type="continuationNotice" w:id="1">
    <w:p w14:paraId="642C4245" w14:textId="77777777" w:rsidR="00A14BD1" w:rsidRDefault="00A1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0106263"/>
      <w:docPartObj>
        <w:docPartGallery w:val="Page Numbers (Bottom of Page)"/>
        <w:docPartUnique/>
      </w:docPartObj>
    </w:sdtPr>
    <w:sdtEndPr>
      <w:rPr>
        <w:rStyle w:val="PageNumber"/>
      </w:rPr>
    </w:sdtEndPr>
    <w:sdtContent>
      <w:p w14:paraId="7F095FEE" w14:textId="02E72665" w:rsidR="00B72B45" w:rsidRDefault="00B72B45" w:rsidP="00AE47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150A1">
          <w:rPr>
            <w:rStyle w:val="PageNumber"/>
            <w:noProof/>
          </w:rPr>
          <w:t>1</w:t>
        </w:r>
        <w:r>
          <w:rPr>
            <w:rStyle w:val="PageNumber"/>
          </w:rPr>
          <w:fldChar w:fldCharType="end"/>
        </w:r>
      </w:p>
    </w:sdtContent>
  </w:sdt>
  <w:p w14:paraId="32F74B93" w14:textId="77777777" w:rsidR="00B72B45" w:rsidRDefault="00B72B45" w:rsidP="008C114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9C70" w14:textId="351A1B53" w:rsidR="009150A1" w:rsidRPr="009150A1" w:rsidRDefault="009150A1" w:rsidP="00AE470C">
    <w:pPr>
      <w:ind w:right="360"/>
      <w:jc w:val="center"/>
      <w:rPr>
        <w:color w:val="75787B" w:themeColor="text2"/>
        <w:sz w:val="16"/>
        <w:szCs w:val="16"/>
      </w:rPr>
    </w:pPr>
    <w:r w:rsidRPr="009150A1">
      <w:rPr>
        <w:color w:val="75787B" w:themeColor="text2"/>
        <w:sz w:val="16"/>
        <w:szCs w:val="16"/>
      </w:rPr>
      <w:t>At the time of creation, current industry knowledge was used to craft all material in the RCS Learning Center.  It is incumbent upon</w:t>
    </w:r>
    <w:r w:rsidR="008C1149">
      <w:rPr>
        <w:color w:val="75787B" w:themeColor="text2"/>
        <w:sz w:val="16"/>
        <w:szCs w:val="16"/>
      </w:rPr>
      <w:t xml:space="preserve"> </w:t>
    </w:r>
    <w:r w:rsidRPr="009150A1">
      <w:rPr>
        <w:color w:val="75787B" w:themeColor="text2"/>
        <w:sz w:val="16"/>
        <w:szCs w:val="16"/>
      </w:rPr>
      <w:t>the learner to review all relevant industry updates, including the STORE manual, AJCC 8</w:t>
    </w:r>
    <w:r w:rsidRPr="009150A1">
      <w:rPr>
        <w:color w:val="75787B" w:themeColor="text2"/>
        <w:sz w:val="16"/>
        <w:szCs w:val="16"/>
        <w:vertAlign w:val="superscript"/>
      </w:rPr>
      <w:t>th</w:t>
    </w:r>
    <w:r w:rsidRPr="009150A1">
      <w:rPr>
        <w:color w:val="75787B" w:themeColor="text2"/>
        <w:sz w:val="16"/>
        <w:szCs w:val="16"/>
      </w:rPr>
      <w:t xml:space="preserve"> Edition, SEER manuals, and NAACCR manuals to ensure that material has not become obsolete due to the passage of time.</w:t>
    </w:r>
  </w:p>
  <w:p w14:paraId="4A94E761" w14:textId="77777777" w:rsidR="009150A1" w:rsidRDefault="00B72B45" w:rsidP="00B72B45">
    <w:pPr>
      <w:pStyle w:val="Footer"/>
      <w:ind w:right="360"/>
      <w:rPr>
        <w:color w:val="75787B" w:themeColor="text2"/>
        <w:sz w:val="16"/>
        <w:szCs w:val="16"/>
      </w:rPr>
    </w:pPr>
    <w:r>
      <w:rPr>
        <w:noProof/>
        <w:color w:val="75787B" w:themeColor="text2"/>
        <w:sz w:val="16"/>
        <w:szCs w:val="16"/>
      </w:rPr>
      <w:drawing>
        <wp:anchor distT="0" distB="0" distL="114300" distR="114300" simplePos="0" relativeHeight="251658240" behindDoc="1" locked="0" layoutInCell="1" allowOverlap="1" wp14:anchorId="5DC07371" wp14:editId="58D9DC15">
          <wp:simplePos x="0" y="0"/>
          <wp:positionH relativeFrom="column">
            <wp:posOffset>0</wp:posOffset>
          </wp:positionH>
          <wp:positionV relativeFrom="page">
            <wp:posOffset>9407525</wp:posOffset>
          </wp:positionV>
          <wp:extent cx="817245" cy="285750"/>
          <wp:effectExtent l="0" t="0" r="0" b="635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2130" t="28687" r="12848" b="29283"/>
                  <a:stretch/>
                </pic:blipFill>
                <pic:spPr bwMode="auto">
                  <a:xfrm>
                    <a:off x="0" y="0"/>
                    <a:ext cx="817245"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2B45">
      <w:rPr>
        <w:color w:val="75787B" w:themeColor="text2"/>
        <w:sz w:val="16"/>
        <w:szCs w:val="16"/>
      </w:rPr>
      <w:ptab w:relativeTo="margin" w:alignment="center" w:leader="none"/>
    </w:r>
  </w:p>
  <w:p w14:paraId="562625AD" w14:textId="77777777" w:rsidR="009150A1" w:rsidRDefault="009150A1" w:rsidP="00B72B45">
    <w:pPr>
      <w:pStyle w:val="Footer"/>
      <w:ind w:right="360"/>
      <w:rPr>
        <w:color w:val="75787B" w:themeColor="text2"/>
        <w:sz w:val="16"/>
        <w:szCs w:val="16"/>
      </w:rPr>
    </w:pPr>
  </w:p>
  <w:sdt>
    <w:sdtPr>
      <w:rPr>
        <w:rStyle w:val="PageNumber"/>
        <w:color w:val="75787B" w:themeColor="text2"/>
        <w:sz w:val="20"/>
        <w:szCs w:val="20"/>
      </w:rPr>
      <w:id w:val="-1640870073"/>
      <w:docPartObj>
        <w:docPartGallery w:val="Page Numbers (Bottom of Page)"/>
        <w:docPartUnique/>
      </w:docPartObj>
    </w:sdtPr>
    <w:sdtEndPr>
      <w:rPr>
        <w:rStyle w:val="PageNumber"/>
      </w:rPr>
    </w:sdtEndPr>
    <w:sdtContent>
      <w:p w14:paraId="6D67FD3B" w14:textId="77777777" w:rsidR="00AE470C" w:rsidRPr="00AE470C" w:rsidRDefault="00AE470C" w:rsidP="00AE470C">
        <w:pPr>
          <w:pStyle w:val="Footer"/>
          <w:framePr w:wrap="none" w:vAnchor="text" w:hAnchor="page" w:x="10630" w:y="-9"/>
          <w:rPr>
            <w:rStyle w:val="PageNumber"/>
            <w:color w:val="75787B" w:themeColor="text2"/>
            <w:sz w:val="20"/>
            <w:szCs w:val="20"/>
          </w:rPr>
        </w:pPr>
        <w:r w:rsidRPr="00AE470C">
          <w:rPr>
            <w:rStyle w:val="PageNumber"/>
            <w:color w:val="75787B" w:themeColor="text2"/>
            <w:sz w:val="20"/>
            <w:szCs w:val="20"/>
          </w:rPr>
          <w:fldChar w:fldCharType="begin"/>
        </w:r>
        <w:r w:rsidRPr="00AE470C">
          <w:rPr>
            <w:rStyle w:val="PageNumber"/>
            <w:color w:val="75787B" w:themeColor="text2"/>
            <w:sz w:val="20"/>
            <w:szCs w:val="20"/>
          </w:rPr>
          <w:instrText xml:space="preserve"> PAGE </w:instrText>
        </w:r>
        <w:r w:rsidRPr="00AE470C">
          <w:rPr>
            <w:rStyle w:val="PageNumber"/>
            <w:color w:val="75787B" w:themeColor="text2"/>
            <w:sz w:val="20"/>
            <w:szCs w:val="20"/>
          </w:rPr>
          <w:fldChar w:fldCharType="separate"/>
        </w:r>
        <w:r w:rsidRPr="00AE470C">
          <w:rPr>
            <w:rStyle w:val="PageNumber"/>
            <w:noProof/>
            <w:color w:val="75787B" w:themeColor="text2"/>
            <w:sz w:val="20"/>
            <w:szCs w:val="20"/>
          </w:rPr>
          <w:t>2</w:t>
        </w:r>
        <w:r w:rsidRPr="00AE470C">
          <w:rPr>
            <w:rStyle w:val="PageNumber"/>
            <w:color w:val="75787B" w:themeColor="text2"/>
            <w:sz w:val="20"/>
            <w:szCs w:val="20"/>
          </w:rPr>
          <w:fldChar w:fldCharType="end"/>
        </w:r>
      </w:p>
    </w:sdtContent>
  </w:sdt>
  <w:p w14:paraId="2D7A75AD" w14:textId="754D4E50" w:rsidR="00B72B45" w:rsidRPr="00B72B45" w:rsidRDefault="00BD0ED6" w:rsidP="008C1149">
    <w:pPr>
      <w:pStyle w:val="Footer"/>
      <w:ind w:right="360" w:firstLine="360"/>
      <w:jc w:val="center"/>
      <w:rPr>
        <w:color w:val="75787B" w:themeColor="text2"/>
        <w:sz w:val="16"/>
        <w:szCs w:val="16"/>
      </w:rPr>
    </w:pPr>
    <w:r>
      <w:rPr>
        <w:color w:val="75787B" w:themeColor="text2"/>
        <w:sz w:val="16"/>
        <w:szCs w:val="16"/>
      </w:rPr>
      <w:t>Confidential</w:t>
    </w:r>
    <w:r w:rsidR="00BE3AE1">
      <w:rPr>
        <w:color w:val="75787B" w:themeColor="text2"/>
        <w:sz w:val="16"/>
        <w:szCs w:val="16"/>
      </w:rPr>
      <w:t xml:space="preserve"> Intellectual</w:t>
    </w:r>
    <w:r>
      <w:rPr>
        <w:color w:val="75787B" w:themeColor="text2"/>
        <w:sz w:val="16"/>
        <w:szCs w:val="16"/>
      </w:rPr>
      <w:t xml:space="preserve"> Property of AMN Healthcare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20F6" w14:textId="77777777" w:rsidR="00E614A2" w:rsidRDefault="00E614A2" w:rsidP="00B72B45">
      <w:r>
        <w:separator/>
      </w:r>
    </w:p>
  </w:footnote>
  <w:footnote w:type="continuationSeparator" w:id="0">
    <w:p w14:paraId="5A588357" w14:textId="77777777" w:rsidR="00E614A2" w:rsidRDefault="00E614A2" w:rsidP="00B72B45">
      <w:r>
        <w:continuationSeparator/>
      </w:r>
    </w:p>
  </w:footnote>
  <w:footnote w:type="continuationNotice" w:id="1">
    <w:p w14:paraId="7FE08227" w14:textId="77777777" w:rsidR="00A14BD1" w:rsidRDefault="00A14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843"/>
    <w:multiLevelType w:val="hybridMultilevel"/>
    <w:tmpl w:val="CEECC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E7DA3"/>
    <w:multiLevelType w:val="hybridMultilevel"/>
    <w:tmpl w:val="64F8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16151"/>
    <w:multiLevelType w:val="hybridMultilevel"/>
    <w:tmpl w:val="4B5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9561A"/>
    <w:multiLevelType w:val="hybridMultilevel"/>
    <w:tmpl w:val="FF6807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8102D"/>
    <w:multiLevelType w:val="hybridMultilevel"/>
    <w:tmpl w:val="E33056FE"/>
    <w:lvl w:ilvl="0" w:tplc="FFFFFFFF">
      <w:start w:val="1"/>
      <w:numFmt w:val="decimal"/>
      <w:lvlText w:val="%1."/>
      <w:lvlJc w:val="left"/>
      <w:pPr>
        <w:ind w:left="720" w:hanging="360"/>
      </w:pPr>
      <w:rPr>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17F8A"/>
    <w:multiLevelType w:val="hybridMultilevel"/>
    <w:tmpl w:val="901AC7F6"/>
    <w:lvl w:ilvl="0" w:tplc="DFC0445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F94C64"/>
    <w:multiLevelType w:val="hybridMultilevel"/>
    <w:tmpl w:val="9CDAE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626EF"/>
    <w:multiLevelType w:val="hybridMultilevel"/>
    <w:tmpl w:val="8ED6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22B84"/>
    <w:multiLevelType w:val="hybridMultilevel"/>
    <w:tmpl w:val="C2CEF50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40645"/>
    <w:multiLevelType w:val="hybridMultilevel"/>
    <w:tmpl w:val="072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76BC2"/>
    <w:multiLevelType w:val="hybridMultilevel"/>
    <w:tmpl w:val="82CA13AE"/>
    <w:lvl w:ilvl="0" w:tplc="435C720C">
      <w:start w:val="1"/>
      <w:numFmt w:val="bullet"/>
      <w:lvlText w:val="•"/>
      <w:lvlJc w:val="left"/>
      <w:pPr>
        <w:tabs>
          <w:tab w:val="num" w:pos="720"/>
        </w:tabs>
        <w:ind w:left="720" w:hanging="360"/>
      </w:pPr>
      <w:rPr>
        <w:rFonts w:ascii="Times New Roman" w:hAnsi="Times New Roman" w:hint="default"/>
      </w:rPr>
    </w:lvl>
    <w:lvl w:ilvl="1" w:tplc="C4127980">
      <w:numFmt w:val="bullet"/>
      <w:lvlText w:val="•"/>
      <w:lvlJc w:val="left"/>
      <w:pPr>
        <w:tabs>
          <w:tab w:val="num" w:pos="1440"/>
        </w:tabs>
        <w:ind w:left="1440" w:hanging="360"/>
      </w:pPr>
      <w:rPr>
        <w:rFonts w:ascii="Times New Roman" w:hAnsi="Times New Roman" w:hint="default"/>
      </w:rPr>
    </w:lvl>
    <w:lvl w:ilvl="2" w:tplc="AD041FEC" w:tentative="1">
      <w:start w:val="1"/>
      <w:numFmt w:val="bullet"/>
      <w:lvlText w:val="•"/>
      <w:lvlJc w:val="left"/>
      <w:pPr>
        <w:tabs>
          <w:tab w:val="num" w:pos="2160"/>
        </w:tabs>
        <w:ind w:left="2160" w:hanging="360"/>
      </w:pPr>
      <w:rPr>
        <w:rFonts w:ascii="Times New Roman" w:hAnsi="Times New Roman" w:hint="default"/>
      </w:rPr>
    </w:lvl>
    <w:lvl w:ilvl="3" w:tplc="2B445112" w:tentative="1">
      <w:start w:val="1"/>
      <w:numFmt w:val="bullet"/>
      <w:lvlText w:val="•"/>
      <w:lvlJc w:val="left"/>
      <w:pPr>
        <w:tabs>
          <w:tab w:val="num" w:pos="2880"/>
        </w:tabs>
        <w:ind w:left="2880" w:hanging="360"/>
      </w:pPr>
      <w:rPr>
        <w:rFonts w:ascii="Times New Roman" w:hAnsi="Times New Roman" w:hint="default"/>
      </w:rPr>
    </w:lvl>
    <w:lvl w:ilvl="4" w:tplc="792E623C" w:tentative="1">
      <w:start w:val="1"/>
      <w:numFmt w:val="bullet"/>
      <w:lvlText w:val="•"/>
      <w:lvlJc w:val="left"/>
      <w:pPr>
        <w:tabs>
          <w:tab w:val="num" w:pos="3600"/>
        </w:tabs>
        <w:ind w:left="3600" w:hanging="360"/>
      </w:pPr>
      <w:rPr>
        <w:rFonts w:ascii="Times New Roman" w:hAnsi="Times New Roman" w:hint="default"/>
      </w:rPr>
    </w:lvl>
    <w:lvl w:ilvl="5" w:tplc="34027F02" w:tentative="1">
      <w:start w:val="1"/>
      <w:numFmt w:val="bullet"/>
      <w:lvlText w:val="•"/>
      <w:lvlJc w:val="left"/>
      <w:pPr>
        <w:tabs>
          <w:tab w:val="num" w:pos="4320"/>
        </w:tabs>
        <w:ind w:left="4320" w:hanging="360"/>
      </w:pPr>
      <w:rPr>
        <w:rFonts w:ascii="Times New Roman" w:hAnsi="Times New Roman" w:hint="default"/>
      </w:rPr>
    </w:lvl>
    <w:lvl w:ilvl="6" w:tplc="00BEDE14" w:tentative="1">
      <w:start w:val="1"/>
      <w:numFmt w:val="bullet"/>
      <w:lvlText w:val="•"/>
      <w:lvlJc w:val="left"/>
      <w:pPr>
        <w:tabs>
          <w:tab w:val="num" w:pos="5040"/>
        </w:tabs>
        <w:ind w:left="5040" w:hanging="360"/>
      </w:pPr>
      <w:rPr>
        <w:rFonts w:ascii="Times New Roman" w:hAnsi="Times New Roman" w:hint="default"/>
      </w:rPr>
    </w:lvl>
    <w:lvl w:ilvl="7" w:tplc="63762E04" w:tentative="1">
      <w:start w:val="1"/>
      <w:numFmt w:val="bullet"/>
      <w:lvlText w:val="•"/>
      <w:lvlJc w:val="left"/>
      <w:pPr>
        <w:tabs>
          <w:tab w:val="num" w:pos="5760"/>
        </w:tabs>
        <w:ind w:left="5760" w:hanging="360"/>
      </w:pPr>
      <w:rPr>
        <w:rFonts w:ascii="Times New Roman" w:hAnsi="Times New Roman" w:hint="default"/>
      </w:rPr>
    </w:lvl>
    <w:lvl w:ilvl="8" w:tplc="A12A51E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C72CEC"/>
    <w:multiLevelType w:val="hybridMultilevel"/>
    <w:tmpl w:val="296EDF70"/>
    <w:lvl w:ilvl="0" w:tplc="84202A4C">
      <w:start w:val="1"/>
      <w:numFmt w:val="bullet"/>
      <w:lvlText w:val="•"/>
      <w:lvlJc w:val="left"/>
      <w:pPr>
        <w:tabs>
          <w:tab w:val="num" w:pos="720"/>
        </w:tabs>
        <w:ind w:left="720" w:hanging="360"/>
      </w:pPr>
      <w:rPr>
        <w:rFonts w:ascii="Times New Roman" w:hAnsi="Times New Roman" w:hint="default"/>
      </w:rPr>
    </w:lvl>
    <w:lvl w:ilvl="1" w:tplc="FA706650" w:tentative="1">
      <w:start w:val="1"/>
      <w:numFmt w:val="bullet"/>
      <w:lvlText w:val="•"/>
      <w:lvlJc w:val="left"/>
      <w:pPr>
        <w:tabs>
          <w:tab w:val="num" w:pos="1440"/>
        </w:tabs>
        <w:ind w:left="1440" w:hanging="360"/>
      </w:pPr>
      <w:rPr>
        <w:rFonts w:ascii="Times New Roman" w:hAnsi="Times New Roman" w:hint="default"/>
      </w:rPr>
    </w:lvl>
    <w:lvl w:ilvl="2" w:tplc="7D5A89DE" w:tentative="1">
      <w:start w:val="1"/>
      <w:numFmt w:val="bullet"/>
      <w:lvlText w:val="•"/>
      <w:lvlJc w:val="left"/>
      <w:pPr>
        <w:tabs>
          <w:tab w:val="num" w:pos="2160"/>
        </w:tabs>
        <w:ind w:left="2160" w:hanging="360"/>
      </w:pPr>
      <w:rPr>
        <w:rFonts w:ascii="Times New Roman" w:hAnsi="Times New Roman" w:hint="default"/>
      </w:rPr>
    </w:lvl>
    <w:lvl w:ilvl="3" w:tplc="6B622164" w:tentative="1">
      <w:start w:val="1"/>
      <w:numFmt w:val="bullet"/>
      <w:lvlText w:val="•"/>
      <w:lvlJc w:val="left"/>
      <w:pPr>
        <w:tabs>
          <w:tab w:val="num" w:pos="2880"/>
        </w:tabs>
        <w:ind w:left="2880" w:hanging="360"/>
      </w:pPr>
      <w:rPr>
        <w:rFonts w:ascii="Times New Roman" w:hAnsi="Times New Roman" w:hint="default"/>
      </w:rPr>
    </w:lvl>
    <w:lvl w:ilvl="4" w:tplc="835867D4" w:tentative="1">
      <w:start w:val="1"/>
      <w:numFmt w:val="bullet"/>
      <w:lvlText w:val="•"/>
      <w:lvlJc w:val="left"/>
      <w:pPr>
        <w:tabs>
          <w:tab w:val="num" w:pos="3600"/>
        </w:tabs>
        <w:ind w:left="3600" w:hanging="360"/>
      </w:pPr>
      <w:rPr>
        <w:rFonts w:ascii="Times New Roman" w:hAnsi="Times New Roman" w:hint="default"/>
      </w:rPr>
    </w:lvl>
    <w:lvl w:ilvl="5" w:tplc="C980CB7E" w:tentative="1">
      <w:start w:val="1"/>
      <w:numFmt w:val="bullet"/>
      <w:lvlText w:val="•"/>
      <w:lvlJc w:val="left"/>
      <w:pPr>
        <w:tabs>
          <w:tab w:val="num" w:pos="4320"/>
        </w:tabs>
        <w:ind w:left="4320" w:hanging="360"/>
      </w:pPr>
      <w:rPr>
        <w:rFonts w:ascii="Times New Roman" w:hAnsi="Times New Roman" w:hint="default"/>
      </w:rPr>
    </w:lvl>
    <w:lvl w:ilvl="6" w:tplc="5EFC7C10" w:tentative="1">
      <w:start w:val="1"/>
      <w:numFmt w:val="bullet"/>
      <w:lvlText w:val="•"/>
      <w:lvlJc w:val="left"/>
      <w:pPr>
        <w:tabs>
          <w:tab w:val="num" w:pos="5040"/>
        </w:tabs>
        <w:ind w:left="5040" w:hanging="360"/>
      </w:pPr>
      <w:rPr>
        <w:rFonts w:ascii="Times New Roman" w:hAnsi="Times New Roman" w:hint="default"/>
      </w:rPr>
    </w:lvl>
    <w:lvl w:ilvl="7" w:tplc="E0F25912" w:tentative="1">
      <w:start w:val="1"/>
      <w:numFmt w:val="bullet"/>
      <w:lvlText w:val="•"/>
      <w:lvlJc w:val="left"/>
      <w:pPr>
        <w:tabs>
          <w:tab w:val="num" w:pos="5760"/>
        </w:tabs>
        <w:ind w:left="5760" w:hanging="360"/>
      </w:pPr>
      <w:rPr>
        <w:rFonts w:ascii="Times New Roman" w:hAnsi="Times New Roman" w:hint="default"/>
      </w:rPr>
    </w:lvl>
    <w:lvl w:ilvl="8" w:tplc="9CAC1AC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EC6401B"/>
    <w:multiLevelType w:val="hybridMultilevel"/>
    <w:tmpl w:val="275EBFD6"/>
    <w:lvl w:ilvl="0" w:tplc="0F3E10EA">
      <w:start w:val="1"/>
      <w:numFmt w:val="bullet"/>
      <w:lvlText w:val="•"/>
      <w:lvlJc w:val="left"/>
      <w:pPr>
        <w:tabs>
          <w:tab w:val="num" w:pos="720"/>
        </w:tabs>
        <w:ind w:left="720" w:hanging="360"/>
      </w:pPr>
      <w:rPr>
        <w:rFonts w:ascii="Times New Roman" w:hAnsi="Times New Roman" w:hint="default"/>
      </w:rPr>
    </w:lvl>
    <w:lvl w:ilvl="1" w:tplc="68AAC63E">
      <w:numFmt w:val="bullet"/>
      <w:lvlText w:val="•"/>
      <w:lvlJc w:val="left"/>
      <w:pPr>
        <w:tabs>
          <w:tab w:val="num" w:pos="1440"/>
        </w:tabs>
        <w:ind w:left="1440" w:hanging="360"/>
      </w:pPr>
      <w:rPr>
        <w:rFonts w:ascii="Times New Roman" w:hAnsi="Times New Roman" w:hint="default"/>
      </w:rPr>
    </w:lvl>
    <w:lvl w:ilvl="2" w:tplc="ACB895E0" w:tentative="1">
      <w:start w:val="1"/>
      <w:numFmt w:val="bullet"/>
      <w:lvlText w:val="•"/>
      <w:lvlJc w:val="left"/>
      <w:pPr>
        <w:tabs>
          <w:tab w:val="num" w:pos="2160"/>
        </w:tabs>
        <w:ind w:left="2160" w:hanging="360"/>
      </w:pPr>
      <w:rPr>
        <w:rFonts w:ascii="Times New Roman" w:hAnsi="Times New Roman" w:hint="default"/>
      </w:rPr>
    </w:lvl>
    <w:lvl w:ilvl="3" w:tplc="31DAF18C" w:tentative="1">
      <w:start w:val="1"/>
      <w:numFmt w:val="bullet"/>
      <w:lvlText w:val="•"/>
      <w:lvlJc w:val="left"/>
      <w:pPr>
        <w:tabs>
          <w:tab w:val="num" w:pos="2880"/>
        </w:tabs>
        <w:ind w:left="2880" w:hanging="360"/>
      </w:pPr>
      <w:rPr>
        <w:rFonts w:ascii="Times New Roman" w:hAnsi="Times New Roman" w:hint="default"/>
      </w:rPr>
    </w:lvl>
    <w:lvl w:ilvl="4" w:tplc="3E9C4AE4" w:tentative="1">
      <w:start w:val="1"/>
      <w:numFmt w:val="bullet"/>
      <w:lvlText w:val="•"/>
      <w:lvlJc w:val="left"/>
      <w:pPr>
        <w:tabs>
          <w:tab w:val="num" w:pos="3600"/>
        </w:tabs>
        <w:ind w:left="3600" w:hanging="360"/>
      </w:pPr>
      <w:rPr>
        <w:rFonts w:ascii="Times New Roman" w:hAnsi="Times New Roman" w:hint="default"/>
      </w:rPr>
    </w:lvl>
    <w:lvl w:ilvl="5" w:tplc="682CF408" w:tentative="1">
      <w:start w:val="1"/>
      <w:numFmt w:val="bullet"/>
      <w:lvlText w:val="•"/>
      <w:lvlJc w:val="left"/>
      <w:pPr>
        <w:tabs>
          <w:tab w:val="num" w:pos="4320"/>
        </w:tabs>
        <w:ind w:left="4320" w:hanging="360"/>
      </w:pPr>
      <w:rPr>
        <w:rFonts w:ascii="Times New Roman" w:hAnsi="Times New Roman" w:hint="default"/>
      </w:rPr>
    </w:lvl>
    <w:lvl w:ilvl="6" w:tplc="711A769A" w:tentative="1">
      <w:start w:val="1"/>
      <w:numFmt w:val="bullet"/>
      <w:lvlText w:val="•"/>
      <w:lvlJc w:val="left"/>
      <w:pPr>
        <w:tabs>
          <w:tab w:val="num" w:pos="5040"/>
        </w:tabs>
        <w:ind w:left="5040" w:hanging="360"/>
      </w:pPr>
      <w:rPr>
        <w:rFonts w:ascii="Times New Roman" w:hAnsi="Times New Roman" w:hint="default"/>
      </w:rPr>
    </w:lvl>
    <w:lvl w:ilvl="7" w:tplc="63E025DE" w:tentative="1">
      <w:start w:val="1"/>
      <w:numFmt w:val="bullet"/>
      <w:lvlText w:val="•"/>
      <w:lvlJc w:val="left"/>
      <w:pPr>
        <w:tabs>
          <w:tab w:val="num" w:pos="5760"/>
        </w:tabs>
        <w:ind w:left="5760" w:hanging="360"/>
      </w:pPr>
      <w:rPr>
        <w:rFonts w:ascii="Times New Roman" w:hAnsi="Times New Roman" w:hint="default"/>
      </w:rPr>
    </w:lvl>
    <w:lvl w:ilvl="8" w:tplc="2482FFE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998F9F5"/>
    <w:multiLevelType w:val="hybridMultilevel"/>
    <w:tmpl w:val="B9B4BAD0"/>
    <w:lvl w:ilvl="0" w:tplc="4142E4B8">
      <w:start w:val="1"/>
      <w:numFmt w:val="bullet"/>
      <w:lvlText w:val=""/>
      <w:lvlJc w:val="left"/>
      <w:pPr>
        <w:ind w:left="1080" w:hanging="360"/>
      </w:pPr>
      <w:rPr>
        <w:rFonts w:ascii="Symbol" w:hAnsi="Symbol" w:hint="default"/>
      </w:rPr>
    </w:lvl>
    <w:lvl w:ilvl="1" w:tplc="2CD44C62">
      <w:start w:val="1"/>
      <w:numFmt w:val="bullet"/>
      <w:lvlText w:val="o"/>
      <w:lvlJc w:val="left"/>
      <w:pPr>
        <w:ind w:left="1800" w:hanging="360"/>
      </w:pPr>
      <w:rPr>
        <w:rFonts w:ascii="Courier New" w:hAnsi="Courier New" w:hint="default"/>
      </w:rPr>
    </w:lvl>
    <w:lvl w:ilvl="2" w:tplc="B4AE1CCA">
      <w:start w:val="1"/>
      <w:numFmt w:val="bullet"/>
      <w:lvlText w:val=""/>
      <w:lvlJc w:val="left"/>
      <w:pPr>
        <w:ind w:left="2520" w:hanging="360"/>
      </w:pPr>
      <w:rPr>
        <w:rFonts w:ascii="Wingdings" w:hAnsi="Wingdings" w:hint="default"/>
      </w:rPr>
    </w:lvl>
    <w:lvl w:ilvl="3" w:tplc="FCAE5932">
      <w:start w:val="1"/>
      <w:numFmt w:val="bullet"/>
      <w:lvlText w:val=""/>
      <w:lvlJc w:val="left"/>
      <w:pPr>
        <w:ind w:left="3240" w:hanging="360"/>
      </w:pPr>
      <w:rPr>
        <w:rFonts w:ascii="Symbol" w:hAnsi="Symbol" w:hint="default"/>
      </w:rPr>
    </w:lvl>
    <w:lvl w:ilvl="4" w:tplc="32DA6392">
      <w:start w:val="1"/>
      <w:numFmt w:val="bullet"/>
      <w:lvlText w:val="o"/>
      <w:lvlJc w:val="left"/>
      <w:pPr>
        <w:ind w:left="3960" w:hanging="360"/>
      </w:pPr>
      <w:rPr>
        <w:rFonts w:ascii="Courier New" w:hAnsi="Courier New" w:hint="default"/>
      </w:rPr>
    </w:lvl>
    <w:lvl w:ilvl="5" w:tplc="4050A046">
      <w:start w:val="1"/>
      <w:numFmt w:val="bullet"/>
      <w:lvlText w:val=""/>
      <w:lvlJc w:val="left"/>
      <w:pPr>
        <w:ind w:left="4680" w:hanging="360"/>
      </w:pPr>
      <w:rPr>
        <w:rFonts w:ascii="Wingdings" w:hAnsi="Wingdings" w:hint="default"/>
      </w:rPr>
    </w:lvl>
    <w:lvl w:ilvl="6" w:tplc="4712FFB8">
      <w:start w:val="1"/>
      <w:numFmt w:val="bullet"/>
      <w:lvlText w:val=""/>
      <w:lvlJc w:val="left"/>
      <w:pPr>
        <w:ind w:left="5400" w:hanging="360"/>
      </w:pPr>
      <w:rPr>
        <w:rFonts w:ascii="Symbol" w:hAnsi="Symbol" w:hint="default"/>
      </w:rPr>
    </w:lvl>
    <w:lvl w:ilvl="7" w:tplc="C4ACA39E">
      <w:start w:val="1"/>
      <w:numFmt w:val="bullet"/>
      <w:lvlText w:val="o"/>
      <w:lvlJc w:val="left"/>
      <w:pPr>
        <w:ind w:left="6120" w:hanging="360"/>
      </w:pPr>
      <w:rPr>
        <w:rFonts w:ascii="Courier New" w:hAnsi="Courier New" w:hint="default"/>
      </w:rPr>
    </w:lvl>
    <w:lvl w:ilvl="8" w:tplc="4C1A12FE">
      <w:start w:val="1"/>
      <w:numFmt w:val="bullet"/>
      <w:lvlText w:val=""/>
      <w:lvlJc w:val="left"/>
      <w:pPr>
        <w:ind w:left="6840" w:hanging="360"/>
      </w:pPr>
      <w:rPr>
        <w:rFonts w:ascii="Wingdings" w:hAnsi="Wingdings" w:hint="default"/>
      </w:rPr>
    </w:lvl>
  </w:abstractNum>
  <w:abstractNum w:abstractNumId="14" w15:restartNumberingAfterBreak="0">
    <w:nsid w:val="64A438F5"/>
    <w:multiLevelType w:val="hybridMultilevel"/>
    <w:tmpl w:val="4EDCA97A"/>
    <w:lvl w:ilvl="0" w:tplc="1F1A6FB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C90A21"/>
    <w:multiLevelType w:val="hybridMultilevel"/>
    <w:tmpl w:val="DDE06E92"/>
    <w:lvl w:ilvl="0" w:tplc="53C4E38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B5834"/>
    <w:multiLevelType w:val="hybridMultilevel"/>
    <w:tmpl w:val="F2AE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72275"/>
    <w:multiLevelType w:val="hybridMultilevel"/>
    <w:tmpl w:val="0132233E"/>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A1264"/>
    <w:multiLevelType w:val="hybridMultilevel"/>
    <w:tmpl w:val="8660851A"/>
    <w:lvl w:ilvl="0" w:tplc="A43ABDF2">
      <w:start w:val="1"/>
      <w:numFmt w:val="bullet"/>
      <w:lvlText w:val="•"/>
      <w:lvlJc w:val="left"/>
      <w:pPr>
        <w:tabs>
          <w:tab w:val="num" w:pos="720"/>
        </w:tabs>
        <w:ind w:left="720" w:hanging="360"/>
      </w:pPr>
      <w:rPr>
        <w:rFonts w:ascii="Times New Roman" w:hAnsi="Times New Roman" w:hint="default"/>
      </w:rPr>
    </w:lvl>
    <w:lvl w:ilvl="1" w:tplc="A4D28E04" w:tentative="1">
      <w:start w:val="1"/>
      <w:numFmt w:val="bullet"/>
      <w:lvlText w:val="•"/>
      <w:lvlJc w:val="left"/>
      <w:pPr>
        <w:tabs>
          <w:tab w:val="num" w:pos="1440"/>
        </w:tabs>
        <w:ind w:left="1440" w:hanging="360"/>
      </w:pPr>
      <w:rPr>
        <w:rFonts w:ascii="Times New Roman" w:hAnsi="Times New Roman" w:hint="default"/>
      </w:rPr>
    </w:lvl>
    <w:lvl w:ilvl="2" w:tplc="B238AE32" w:tentative="1">
      <w:start w:val="1"/>
      <w:numFmt w:val="bullet"/>
      <w:lvlText w:val="•"/>
      <w:lvlJc w:val="left"/>
      <w:pPr>
        <w:tabs>
          <w:tab w:val="num" w:pos="2160"/>
        </w:tabs>
        <w:ind w:left="2160" w:hanging="360"/>
      </w:pPr>
      <w:rPr>
        <w:rFonts w:ascii="Times New Roman" w:hAnsi="Times New Roman" w:hint="default"/>
      </w:rPr>
    </w:lvl>
    <w:lvl w:ilvl="3" w:tplc="4D5EA038" w:tentative="1">
      <w:start w:val="1"/>
      <w:numFmt w:val="bullet"/>
      <w:lvlText w:val="•"/>
      <w:lvlJc w:val="left"/>
      <w:pPr>
        <w:tabs>
          <w:tab w:val="num" w:pos="2880"/>
        </w:tabs>
        <w:ind w:left="2880" w:hanging="360"/>
      </w:pPr>
      <w:rPr>
        <w:rFonts w:ascii="Times New Roman" w:hAnsi="Times New Roman" w:hint="default"/>
      </w:rPr>
    </w:lvl>
    <w:lvl w:ilvl="4" w:tplc="1F649A10" w:tentative="1">
      <w:start w:val="1"/>
      <w:numFmt w:val="bullet"/>
      <w:lvlText w:val="•"/>
      <w:lvlJc w:val="left"/>
      <w:pPr>
        <w:tabs>
          <w:tab w:val="num" w:pos="3600"/>
        </w:tabs>
        <w:ind w:left="3600" w:hanging="360"/>
      </w:pPr>
      <w:rPr>
        <w:rFonts w:ascii="Times New Roman" w:hAnsi="Times New Roman" w:hint="default"/>
      </w:rPr>
    </w:lvl>
    <w:lvl w:ilvl="5" w:tplc="D70A2904" w:tentative="1">
      <w:start w:val="1"/>
      <w:numFmt w:val="bullet"/>
      <w:lvlText w:val="•"/>
      <w:lvlJc w:val="left"/>
      <w:pPr>
        <w:tabs>
          <w:tab w:val="num" w:pos="4320"/>
        </w:tabs>
        <w:ind w:left="4320" w:hanging="360"/>
      </w:pPr>
      <w:rPr>
        <w:rFonts w:ascii="Times New Roman" w:hAnsi="Times New Roman" w:hint="default"/>
      </w:rPr>
    </w:lvl>
    <w:lvl w:ilvl="6" w:tplc="F2BE1348" w:tentative="1">
      <w:start w:val="1"/>
      <w:numFmt w:val="bullet"/>
      <w:lvlText w:val="•"/>
      <w:lvlJc w:val="left"/>
      <w:pPr>
        <w:tabs>
          <w:tab w:val="num" w:pos="5040"/>
        </w:tabs>
        <w:ind w:left="5040" w:hanging="360"/>
      </w:pPr>
      <w:rPr>
        <w:rFonts w:ascii="Times New Roman" w:hAnsi="Times New Roman" w:hint="default"/>
      </w:rPr>
    </w:lvl>
    <w:lvl w:ilvl="7" w:tplc="2F88F35E" w:tentative="1">
      <w:start w:val="1"/>
      <w:numFmt w:val="bullet"/>
      <w:lvlText w:val="•"/>
      <w:lvlJc w:val="left"/>
      <w:pPr>
        <w:tabs>
          <w:tab w:val="num" w:pos="5760"/>
        </w:tabs>
        <w:ind w:left="5760" w:hanging="360"/>
      </w:pPr>
      <w:rPr>
        <w:rFonts w:ascii="Times New Roman" w:hAnsi="Times New Roman" w:hint="default"/>
      </w:rPr>
    </w:lvl>
    <w:lvl w:ilvl="8" w:tplc="F64A3B0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AC81E9B"/>
    <w:multiLevelType w:val="hybridMultilevel"/>
    <w:tmpl w:val="ADE2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673148">
    <w:abstractNumId w:val="7"/>
  </w:num>
  <w:num w:numId="2" w16cid:durableId="1754083125">
    <w:abstractNumId w:val="14"/>
  </w:num>
  <w:num w:numId="3" w16cid:durableId="1519154275">
    <w:abstractNumId w:val="9"/>
  </w:num>
  <w:num w:numId="4" w16cid:durableId="1317999694">
    <w:abstractNumId w:val="13"/>
  </w:num>
  <w:num w:numId="5" w16cid:durableId="958217680">
    <w:abstractNumId w:val="4"/>
  </w:num>
  <w:num w:numId="6" w16cid:durableId="1915772137">
    <w:abstractNumId w:val="8"/>
  </w:num>
  <w:num w:numId="7" w16cid:durableId="1116830341">
    <w:abstractNumId w:val="15"/>
  </w:num>
  <w:num w:numId="8" w16cid:durableId="340088255">
    <w:abstractNumId w:val="16"/>
  </w:num>
  <w:num w:numId="9" w16cid:durableId="2063744034">
    <w:abstractNumId w:val="1"/>
  </w:num>
  <w:num w:numId="10" w16cid:durableId="914515358">
    <w:abstractNumId w:val="0"/>
  </w:num>
  <w:num w:numId="11" w16cid:durableId="518785569">
    <w:abstractNumId w:val="19"/>
  </w:num>
  <w:num w:numId="12" w16cid:durableId="1474327251">
    <w:abstractNumId w:val="6"/>
  </w:num>
  <w:num w:numId="13" w16cid:durableId="1712419177">
    <w:abstractNumId w:val="2"/>
  </w:num>
  <w:num w:numId="14" w16cid:durableId="154884699">
    <w:abstractNumId w:val="18"/>
  </w:num>
  <w:num w:numId="15" w16cid:durableId="2029214673">
    <w:abstractNumId w:val="10"/>
  </w:num>
  <w:num w:numId="16" w16cid:durableId="1978876038">
    <w:abstractNumId w:val="11"/>
  </w:num>
  <w:num w:numId="17" w16cid:durableId="348336246">
    <w:abstractNumId w:val="12"/>
  </w:num>
  <w:num w:numId="18" w16cid:durableId="501358713">
    <w:abstractNumId w:val="17"/>
  </w:num>
  <w:num w:numId="19" w16cid:durableId="1755711158">
    <w:abstractNumId w:val="3"/>
  </w:num>
  <w:num w:numId="20" w16cid:durableId="569540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49"/>
    <w:rsid w:val="00003B00"/>
    <w:rsid w:val="00062DC0"/>
    <w:rsid w:val="00097CA9"/>
    <w:rsid w:val="000C16F6"/>
    <w:rsid w:val="001262B6"/>
    <w:rsid w:val="00130E92"/>
    <w:rsid w:val="00133DC9"/>
    <w:rsid w:val="0019064C"/>
    <w:rsid w:val="0019475B"/>
    <w:rsid w:val="001C50E2"/>
    <w:rsid w:val="001D210F"/>
    <w:rsid w:val="001E75A2"/>
    <w:rsid w:val="001F0345"/>
    <w:rsid w:val="0020573C"/>
    <w:rsid w:val="00216103"/>
    <w:rsid w:val="002646C4"/>
    <w:rsid w:val="00294671"/>
    <w:rsid w:val="002B0E12"/>
    <w:rsid w:val="002E743B"/>
    <w:rsid w:val="0039674A"/>
    <w:rsid w:val="003C56ED"/>
    <w:rsid w:val="003F2B49"/>
    <w:rsid w:val="003F7A31"/>
    <w:rsid w:val="00424C29"/>
    <w:rsid w:val="004B68E7"/>
    <w:rsid w:val="00510CAD"/>
    <w:rsid w:val="00545A50"/>
    <w:rsid w:val="00554F8E"/>
    <w:rsid w:val="00562393"/>
    <w:rsid w:val="00597A6F"/>
    <w:rsid w:val="005A6500"/>
    <w:rsid w:val="005B324D"/>
    <w:rsid w:val="005C38FB"/>
    <w:rsid w:val="0062105A"/>
    <w:rsid w:val="00632177"/>
    <w:rsid w:val="00635A9F"/>
    <w:rsid w:val="00654AB8"/>
    <w:rsid w:val="0075734B"/>
    <w:rsid w:val="007B7B21"/>
    <w:rsid w:val="007C1E88"/>
    <w:rsid w:val="007D4620"/>
    <w:rsid w:val="007D6481"/>
    <w:rsid w:val="00867FBF"/>
    <w:rsid w:val="008C1149"/>
    <w:rsid w:val="008C30D5"/>
    <w:rsid w:val="009150A1"/>
    <w:rsid w:val="00A14BD1"/>
    <w:rsid w:val="00A423F6"/>
    <w:rsid w:val="00A62BD7"/>
    <w:rsid w:val="00A707E0"/>
    <w:rsid w:val="00A83D8F"/>
    <w:rsid w:val="00A920EB"/>
    <w:rsid w:val="00A97C10"/>
    <w:rsid w:val="00AE2945"/>
    <w:rsid w:val="00AE470C"/>
    <w:rsid w:val="00B017C6"/>
    <w:rsid w:val="00B35332"/>
    <w:rsid w:val="00B4277D"/>
    <w:rsid w:val="00B46F53"/>
    <w:rsid w:val="00B6419A"/>
    <w:rsid w:val="00B72B45"/>
    <w:rsid w:val="00B77B63"/>
    <w:rsid w:val="00BC4C04"/>
    <w:rsid w:val="00BD0ED6"/>
    <w:rsid w:val="00BE3AE1"/>
    <w:rsid w:val="00C42840"/>
    <w:rsid w:val="00C63FEB"/>
    <w:rsid w:val="00D152EF"/>
    <w:rsid w:val="00D202C1"/>
    <w:rsid w:val="00D2228F"/>
    <w:rsid w:val="00D84249"/>
    <w:rsid w:val="00DA1B4C"/>
    <w:rsid w:val="00DE2D4A"/>
    <w:rsid w:val="00E32611"/>
    <w:rsid w:val="00E454A5"/>
    <w:rsid w:val="00E614A2"/>
    <w:rsid w:val="00E75999"/>
    <w:rsid w:val="00EE5403"/>
    <w:rsid w:val="00F064BF"/>
    <w:rsid w:val="00F3457B"/>
    <w:rsid w:val="00F5052A"/>
    <w:rsid w:val="00FF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916F2"/>
  <w15:chartTrackingRefBased/>
  <w15:docId w15:val="{04D2E1E1-DD7C-B449-ACB9-4F5793B8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611"/>
    <w:pPr>
      <w:keepNext/>
      <w:keepLines/>
      <w:spacing w:before="240"/>
      <w:outlineLvl w:val="0"/>
    </w:pPr>
    <w:rPr>
      <w:rFonts w:asciiTheme="majorHAnsi" w:eastAsiaTheme="majorEastAsia" w:hAnsiTheme="majorHAnsi" w:cstheme="majorBidi"/>
      <w:color w:val="002C4E" w:themeColor="accent1" w:themeShade="BF"/>
      <w:sz w:val="36"/>
      <w:szCs w:val="32"/>
    </w:rPr>
  </w:style>
  <w:style w:type="paragraph" w:styleId="Heading2">
    <w:name w:val="heading 2"/>
    <w:basedOn w:val="Normal"/>
    <w:next w:val="Normal"/>
    <w:link w:val="Heading2Char"/>
    <w:uiPriority w:val="9"/>
    <w:unhideWhenUsed/>
    <w:qFormat/>
    <w:rsid w:val="002E743B"/>
    <w:pPr>
      <w:keepNext/>
      <w:keepLines/>
      <w:spacing w:before="240"/>
      <w:outlineLvl w:val="1"/>
    </w:pPr>
    <w:rPr>
      <w:rFonts w:asciiTheme="majorHAnsi" w:eastAsiaTheme="majorEastAsia" w:hAnsiTheme="majorHAnsi" w:cs="Times New Roman (Headings CS)"/>
      <w:caps/>
      <w:color w:val="6639B7" w:themeColor="accent2"/>
      <w:spacing w:val="20"/>
      <w:sz w:val="28"/>
      <w:szCs w:val="26"/>
    </w:rPr>
  </w:style>
  <w:style w:type="paragraph" w:styleId="Heading3">
    <w:name w:val="heading 3"/>
    <w:basedOn w:val="Normal"/>
    <w:next w:val="Normal"/>
    <w:link w:val="Heading3Char"/>
    <w:uiPriority w:val="9"/>
    <w:unhideWhenUsed/>
    <w:qFormat/>
    <w:rsid w:val="00E32611"/>
    <w:pPr>
      <w:keepNext/>
      <w:keepLines/>
      <w:spacing w:before="40"/>
      <w:outlineLvl w:val="2"/>
    </w:pPr>
    <w:rPr>
      <w:rFonts w:asciiTheme="majorHAnsi" w:eastAsiaTheme="majorEastAsia" w:hAnsiTheme="majorHAnsi" w:cs="Times New Roman (Headings CS)"/>
      <w:caps/>
      <w:color w:val="005BBB" w:themeColor="accent6"/>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2">
    <w:name w:val="Subtitle 2"/>
    <w:basedOn w:val="Subtitle"/>
    <w:qFormat/>
    <w:rsid w:val="00B4277D"/>
    <w:pPr>
      <w:numPr>
        <w:ilvl w:val="0"/>
      </w:numPr>
      <w:spacing w:before="200" w:after="240"/>
    </w:pPr>
    <w:rPr>
      <w:caps/>
      <w:color w:val="34B233" w:themeColor="accent4"/>
      <w:spacing w:val="10"/>
      <w:szCs w:val="21"/>
    </w:rPr>
  </w:style>
  <w:style w:type="paragraph" w:styleId="Subtitle">
    <w:name w:val="Subtitle"/>
    <w:basedOn w:val="Normal"/>
    <w:next w:val="Normal"/>
    <w:link w:val="SubtitleChar"/>
    <w:uiPriority w:val="11"/>
    <w:qFormat/>
    <w:rsid w:val="00B4277D"/>
    <w:pPr>
      <w:numPr>
        <w:ilvl w:val="1"/>
      </w:numPr>
      <w:spacing w:after="160"/>
    </w:pPr>
    <w:rPr>
      <w:rFonts w:eastAsiaTheme="minorEastAsia"/>
      <w:color w:val="7C819C" w:themeColor="text1" w:themeTint="A5"/>
      <w:spacing w:val="15"/>
      <w:sz w:val="22"/>
      <w:szCs w:val="22"/>
    </w:rPr>
  </w:style>
  <w:style w:type="character" w:customStyle="1" w:styleId="SubtitleChar">
    <w:name w:val="Subtitle Char"/>
    <w:basedOn w:val="DefaultParagraphFont"/>
    <w:link w:val="Subtitle"/>
    <w:uiPriority w:val="11"/>
    <w:rsid w:val="00B4277D"/>
    <w:rPr>
      <w:rFonts w:eastAsiaTheme="minorEastAsia"/>
      <w:color w:val="7C819C" w:themeColor="text1" w:themeTint="A5"/>
      <w:spacing w:val="15"/>
      <w:sz w:val="22"/>
      <w:szCs w:val="22"/>
    </w:rPr>
  </w:style>
  <w:style w:type="paragraph" w:styleId="Title">
    <w:name w:val="Title"/>
    <w:basedOn w:val="Normal"/>
    <w:next w:val="Normal"/>
    <w:link w:val="TitleChar"/>
    <w:uiPriority w:val="10"/>
    <w:qFormat/>
    <w:rsid w:val="00E32611"/>
    <w:pPr>
      <w:contextualSpacing/>
    </w:pPr>
    <w:rPr>
      <w:rFonts w:asciiTheme="majorHAnsi" w:eastAsiaTheme="majorEastAsia" w:hAnsiTheme="majorHAnsi" w:cs="Times New Roman (Headings CS)"/>
      <w:color w:val="003C69" w:themeColor="accent1"/>
      <w:kern w:val="28"/>
      <w:sz w:val="56"/>
      <w:szCs w:val="56"/>
    </w:rPr>
  </w:style>
  <w:style w:type="character" w:customStyle="1" w:styleId="TitleChar">
    <w:name w:val="Title Char"/>
    <w:basedOn w:val="DefaultParagraphFont"/>
    <w:link w:val="Title"/>
    <w:uiPriority w:val="10"/>
    <w:rsid w:val="00E32611"/>
    <w:rPr>
      <w:rFonts w:asciiTheme="majorHAnsi" w:eastAsiaTheme="majorEastAsia" w:hAnsiTheme="majorHAnsi" w:cs="Times New Roman (Headings CS)"/>
      <w:color w:val="003C69" w:themeColor="accent1"/>
      <w:kern w:val="28"/>
      <w:sz w:val="56"/>
      <w:szCs w:val="56"/>
    </w:rPr>
  </w:style>
  <w:style w:type="paragraph" w:styleId="ListParagraph">
    <w:name w:val="List Paragraph"/>
    <w:basedOn w:val="Normal"/>
    <w:uiPriority w:val="34"/>
    <w:qFormat/>
    <w:rsid w:val="00B46F53"/>
    <w:pPr>
      <w:ind w:left="720"/>
      <w:contextualSpacing/>
    </w:pPr>
  </w:style>
  <w:style w:type="character" w:customStyle="1" w:styleId="Heading2Char">
    <w:name w:val="Heading 2 Char"/>
    <w:basedOn w:val="DefaultParagraphFont"/>
    <w:link w:val="Heading2"/>
    <w:uiPriority w:val="9"/>
    <w:rsid w:val="002E743B"/>
    <w:rPr>
      <w:rFonts w:asciiTheme="majorHAnsi" w:eastAsiaTheme="majorEastAsia" w:hAnsiTheme="majorHAnsi" w:cs="Times New Roman (Headings CS)"/>
      <w:caps/>
      <w:color w:val="6639B7" w:themeColor="accent2"/>
      <w:spacing w:val="20"/>
      <w:sz w:val="28"/>
      <w:szCs w:val="26"/>
    </w:rPr>
  </w:style>
  <w:style w:type="character" w:customStyle="1" w:styleId="Heading1Char">
    <w:name w:val="Heading 1 Char"/>
    <w:basedOn w:val="DefaultParagraphFont"/>
    <w:link w:val="Heading1"/>
    <w:uiPriority w:val="9"/>
    <w:rsid w:val="00E32611"/>
    <w:rPr>
      <w:rFonts w:asciiTheme="majorHAnsi" w:eastAsiaTheme="majorEastAsia" w:hAnsiTheme="majorHAnsi" w:cstheme="majorBidi"/>
      <w:color w:val="002C4E" w:themeColor="accent1" w:themeShade="BF"/>
      <w:sz w:val="36"/>
      <w:szCs w:val="32"/>
    </w:rPr>
  </w:style>
  <w:style w:type="character" w:customStyle="1" w:styleId="Heading3Char">
    <w:name w:val="Heading 3 Char"/>
    <w:basedOn w:val="DefaultParagraphFont"/>
    <w:link w:val="Heading3"/>
    <w:uiPriority w:val="9"/>
    <w:rsid w:val="00E32611"/>
    <w:rPr>
      <w:rFonts w:asciiTheme="majorHAnsi" w:eastAsiaTheme="majorEastAsia" w:hAnsiTheme="majorHAnsi" w:cs="Times New Roman (Headings CS)"/>
      <w:caps/>
      <w:color w:val="005BBB" w:themeColor="accent6"/>
      <w:spacing w:val="20"/>
    </w:rPr>
  </w:style>
  <w:style w:type="paragraph" w:styleId="Header">
    <w:name w:val="header"/>
    <w:basedOn w:val="Normal"/>
    <w:link w:val="HeaderChar"/>
    <w:uiPriority w:val="99"/>
    <w:unhideWhenUsed/>
    <w:rsid w:val="00B72B45"/>
    <w:pPr>
      <w:tabs>
        <w:tab w:val="center" w:pos="4680"/>
        <w:tab w:val="right" w:pos="9360"/>
      </w:tabs>
    </w:pPr>
  </w:style>
  <w:style w:type="character" w:customStyle="1" w:styleId="HeaderChar">
    <w:name w:val="Header Char"/>
    <w:basedOn w:val="DefaultParagraphFont"/>
    <w:link w:val="Header"/>
    <w:uiPriority w:val="99"/>
    <w:rsid w:val="00B72B45"/>
  </w:style>
  <w:style w:type="paragraph" w:styleId="Footer">
    <w:name w:val="footer"/>
    <w:basedOn w:val="Normal"/>
    <w:link w:val="FooterChar"/>
    <w:uiPriority w:val="99"/>
    <w:unhideWhenUsed/>
    <w:rsid w:val="00B72B45"/>
    <w:pPr>
      <w:tabs>
        <w:tab w:val="center" w:pos="4680"/>
        <w:tab w:val="right" w:pos="9360"/>
      </w:tabs>
    </w:pPr>
  </w:style>
  <w:style w:type="character" w:customStyle="1" w:styleId="FooterChar">
    <w:name w:val="Footer Char"/>
    <w:basedOn w:val="DefaultParagraphFont"/>
    <w:link w:val="Footer"/>
    <w:uiPriority w:val="99"/>
    <w:rsid w:val="00B72B45"/>
  </w:style>
  <w:style w:type="character" w:styleId="PageNumber">
    <w:name w:val="page number"/>
    <w:basedOn w:val="DefaultParagraphFont"/>
    <w:uiPriority w:val="99"/>
    <w:semiHidden/>
    <w:unhideWhenUsed/>
    <w:rsid w:val="00B72B45"/>
  </w:style>
  <w:style w:type="paragraph" w:styleId="NoSpacing">
    <w:name w:val="No Spacing"/>
    <w:link w:val="NoSpacingChar"/>
    <w:uiPriority w:val="1"/>
    <w:qFormat/>
    <w:rsid w:val="00A423F6"/>
    <w:rPr>
      <w:rFonts w:eastAsiaTheme="minorEastAsia"/>
      <w:sz w:val="22"/>
      <w:szCs w:val="22"/>
      <w:lang w:eastAsia="zh-CN"/>
    </w:rPr>
  </w:style>
  <w:style w:type="character" w:customStyle="1" w:styleId="NoSpacingChar">
    <w:name w:val="No Spacing Char"/>
    <w:basedOn w:val="DefaultParagraphFont"/>
    <w:link w:val="NoSpacing"/>
    <w:uiPriority w:val="1"/>
    <w:rsid w:val="00A423F6"/>
    <w:rPr>
      <w:rFonts w:eastAsiaTheme="minorEastAsia"/>
      <w:sz w:val="22"/>
      <w:szCs w:val="22"/>
      <w:lang w:eastAsia="zh-CN"/>
    </w:rPr>
  </w:style>
  <w:style w:type="table" w:styleId="TableGrid">
    <w:name w:val="Table Grid"/>
    <w:basedOn w:val="TableNormal"/>
    <w:uiPriority w:val="39"/>
    <w:rsid w:val="001906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2BD7"/>
    <w:rPr>
      <w:color w:val="6639B7" w:themeColor="hyperlink"/>
      <w:u w:val="single"/>
    </w:rPr>
  </w:style>
  <w:style w:type="paragraph" w:customStyle="1" w:styleId="Default">
    <w:name w:val="Default"/>
    <w:rsid w:val="003C56ED"/>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90365">
      <w:bodyDiv w:val="1"/>
      <w:marLeft w:val="0"/>
      <w:marRight w:val="0"/>
      <w:marTop w:val="0"/>
      <w:marBottom w:val="0"/>
      <w:divBdr>
        <w:top w:val="none" w:sz="0" w:space="0" w:color="auto"/>
        <w:left w:val="none" w:sz="0" w:space="0" w:color="auto"/>
        <w:bottom w:val="none" w:sz="0" w:space="0" w:color="auto"/>
        <w:right w:val="none" w:sz="0" w:space="0" w:color="auto"/>
      </w:divBdr>
      <w:divsChild>
        <w:div w:id="731002692">
          <w:marLeft w:val="547"/>
          <w:marRight w:val="0"/>
          <w:marTop w:val="0"/>
          <w:marBottom w:val="0"/>
          <w:divBdr>
            <w:top w:val="none" w:sz="0" w:space="0" w:color="auto"/>
            <w:left w:val="none" w:sz="0" w:space="0" w:color="auto"/>
            <w:bottom w:val="none" w:sz="0" w:space="0" w:color="auto"/>
            <w:right w:val="none" w:sz="0" w:space="0" w:color="auto"/>
          </w:divBdr>
        </w:div>
        <w:div w:id="59638937">
          <w:marLeft w:val="1166"/>
          <w:marRight w:val="0"/>
          <w:marTop w:val="0"/>
          <w:marBottom w:val="0"/>
          <w:divBdr>
            <w:top w:val="none" w:sz="0" w:space="0" w:color="auto"/>
            <w:left w:val="none" w:sz="0" w:space="0" w:color="auto"/>
            <w:bottom w:val="none" w:sz="0" w:space="0" w:color="auto"/>
            <w:right w:val="none" w:sz="0" w:space="0" w:color="auto"/>
          </w:divBdr>
        </w:div>
        <w:div w:id="1307124432">
          <w:marLeft w:val="1166"/>
          <w:marRight w:val="0"/>
          <w:marTop w:val="0"/>
          <w:marBottom w:val="0"/>
          <w:divBdr>
            <w:top w:val="none" w:sz="0" w:space="0" w:color="auto"/>
            <w:left w:val="none" w:sz="0" w:space="0" w:color="auto"/>
            <w:bottom w:val="none" w:sz="0" w:space="0" w:color="auto"/>
            <w:right w:val="none" w:sz="0" w:space="0" w:color="auto"/>
          </w:divBdr>
        </w:div>
      </w:divsChild>
    </w:div>
    <w:div w:id="796725029">
      <w:bodyDiv w:val="1"/>
      <w:marLeft w:val="0"/>
      <w:marRight w:val="0"/>
      <w:marTop w:val="0"/>
      <w:marBottom w:val="0"/>
      <w:divBdr>
        <w:top w:val="none" w:sz="0" w:space="0" w:color="auto"/>
        <w:left w:val="none" w:sz="0" w:space="0" w:color="auto"/>
        <w:bottom w:val="none" w:sz="0" w:space="0" w:color="auto"/>
        <w:right w:val="none" w:sz="0" w:space="0" w:color="auto"/>
      </w:divBdr>
      <w:divsChild>
        <w:div w:id="616763952">
          <w:marLeft w:val="547"/>
          <w:marRight w:val="0"/>
          <w:marTop w:val="0"/>
          <w:marBottom w:val="0"/>
          <w:divBdr>
            <w:top w:val="none" w:sz="0" w:space="0" w:color="auto"/>
            <w:left w:val="none" w:sz="0" w:space="0" w:color="auto"/>
            <w:bottom w:val="none" w:sz="0" w:space="0" w:color="auto"/>
            <w:right w:val="none" w:sz="0" w:space="0" w:color="auto"/>
          </w:divBdr>
        </w:div>
        <w:div w:id="824124670">
          <w:marLeft w:val="1166"/>
          <w:marRight w:val="0"/>
          <w:marTop w:val="0"/>
          <w:marBottom w:val="0"/>
          <w:divBdr>
            <w:top w:val="none" w:sz="0" w:space="0" w:color="auto"/>
            <w:left w:val="none" w:sz="0" w:space="0" w:color="auto"/>
            <w:bottom w:val="none" w:sz="0" w:space="0" w:color="auto"/>
            <w:right w:val="none" w:sz="0" w:space="0" w:color="auto"/>
          </w:divBdr>
        </w:div>
        <w:div w:id="902328826">
          <w:marLeft w:val="1166"/>
          <w:marRight w:val="0"/>
          <w:marTop w:val="0"/>
          <w:marBottom w:val="0"/>
          <w:divBdr>
            <w:top w:val="none" w:sz="0" w:space="0" w:color="auto"/>
            <w:left w:val="none" w:sz="0" w:space="0" w:color="auto"/>
            <w:bottom w:val="none" w:sz="0" w:space="0" w:color="auto"/>
            <w:right w:val="none" w:sz="0" w:space="0" w:color="auto"/>
          </w:divBdr>
        </w:div>
      </w:divsChild>
    </w:div>
    <w:div w:id="1684284214">
      <w:bodyDiv w:val="1"/>
      <w:marLeft w:val="0"/>
      <w:marRight w:val="0"/>
      <w:marTop w:val="0"/>
      <w:marBottom w:val="0"/>
      <w:divBdr>
        <w:top w:val="none" w:sz="0" w:space="0" w:color="auto"/>
        <w:left w:val="none" w:sz="0" w:space="0" w:color="auto"/>
        <w:bottom w:val="none" w:sz="0" w:space="0" w:color="auto"/>
        <w:right w:val="none" w:sz="0" w:space="0" w:color="auto"/>
      </w:divBdr>
      <w:divsChild>
        <w:div w:id="666979219">
          <w:marLeft w:val="547"/>
          <w:marRight w:val="0"/>
          <w:marTop w:val="0"/>
          <w:marBottom w:val="0"/>
          <w:divBdr>
            <w:top w:val="none" w:sz="0" w:space="0" w:color="auto"/>
            <w:left w:val="none" w:sz="0" w:space="0" w:color="auto"/>
            <w:bottom w:val="none" w:sz="0" w:space="0" w:color="auto"/>
            <w:right w:val="none" w:sz="0" w:space="0" w:color="auto"/>
          </w:divBdr>
        </w:div>
        <w:div w:id="1460759699">
          <w:marLeft w:val="547"/>
          <w:marRight w:val="0"/>
          <w:marTop w:val="0"/>
          <w:marBottom w:val="0"/>
          <w:divBdr>
            <w:top w:val="none" w:sz="0" w:space="0" w:color="auto"/>
            <w:left w:val="none" w:sz="0" w:space="0" w:color="auto"/>
            <w:bottom w:val="none" w:sz="0" w:space="0" w:color="auto"/>
            <w:right w:val="none" w:sz="0" w:space="0" w:color="auto"/>
          </w:divBdr>
        </w:div>
      </w:divsChild>
    </w:div>
    <w:div w:id="2020083931">
      <w:bodyDiv w:val="1"/>
      <w:marLeft w:val="0"/>
      <w:marRight w:val="0"/>
      <w:marTop w:val="0"/>
      <w:marBottom w:val="0"/>
      <w:divBdr>
        <w:top w:val="none" w:sz="0" w:space="0" w:color="auto"/>
        <w:left w:val="none" w:sz="0" w:space="0" w:color="auto"/>
        <w:bottom w:val="none" w:sz="0" w:space="0" w:color="auto"/>
        <w:right w:val="none" w:sz="0" w:space="0" w:color="auto"/>
      </w:divBdr>
      <w:divsChild>
        <w:div w:id="913776501">
          <w:marLeft w:val="547"/>
          <w:marRight w:val="0"/>
          <w:marTop w:val="0"/>
          <w:marBottom w:val="0"/>
          <w:divBdr>
            <w:top w:val="none" w:sz="0" w:space="0" w:color="auto"/>
            <w:left w:val="none" w:sz="0" w:space="0" w:color="auto"/>
            <w:bottom w:val="none" w:sz="0" w:space="0" w:color="auto"/>
            <w:right w:val="none" w:sz="0" w:space="0" w:color="auto"/>
          </w:divBdr>
        </w:div>
        <w:div w:id="1860194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about/sdoh/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acute-inpatient-pps/fy-2024-ipps-proposed-rule-home-pa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s.gov/medicare/acute-inpatient-pps/fy-2023-ipps-final-rule-home-page" TargetMode="External"/><Relationship Id="rId4" Type="http://schemas.openxmlformats.org/officeDocument/2006/relationships/webSettings" Target="webSettings.xml"/><Relationship Id="rId9" Type="http://schemas.openxmlformats.org/officeDocument/2006/relationships/hyperlink" Target="https://www.cms.gov/medicare/icd-10/2023-icd-10-c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AMN 2021">
  <a:themeElements>
    <a:clrScheme name="Custom 2">
      <a:dk1>
        <a:srgbClr val="434759"/>
      </a:dk1>
      <a:lt1>
        <a:srgbClr val="FFFFFF"/>
      </a:lt1>
      <a:dk2>
        <a:srgbClr val="75787B"/>
      </a:dk2>
      <a:lt2>
        <a:srgbClr val="E7E6E6"/>
      </a:lt2>
      <a:accent1>
        <a:srgbClr val="003C69"/>
      </a:accent1>
      <a:accent2>
        <a:srgbClr val="6639B7"/>
      </a:accent2>
      <a:accent3>
        <a:srgbClr val="008B95"/>
      </a:accent3>
      <a:accent4>
        <a:srgbClr val="34B233"/>
      </a:accent4>
      <a:accent5>
        <a:srgbClr val="5EB6E4"/>
      </a:accent5>
      <a:accent6>
        <a:srgbClr val="005BBB"/>
      </a:accent6>
      <a:hlink>
        <a:srgbClr val="6639B7"/>
      </a:hlink>
      <a:folHlink>
        <a:srgbClr val="5EB6E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noAutofit/>
      </a:bodyPr>
      <a:lstStyle>
        <a:defPPr algn="l">
          <a:defRPr b="0" dirty="0" smtClean="0">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AMN 2021" id="{0566BE2B-5F61-204B-A7A1-78F520B46EF2}" vid="{9F997919-63DE-4043-942F-A1AE30CA868E}"/>
    </a:ext>
  </a:extLst>
</a:theme>
</file>

<file path=docProps/app.xml><?xml version="1.0" encoding="utf-8"?>
<Properties xmlns="http://schemas.openxmlformats.org/officeDocument/2006/extended-properties" xmlns:vt="http://schemas.openxmlformats.org/officeDocument/2006/docPropsVTypes">
  <Template>Normal</Template>
  <TotalTime>4015</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Rich</dc:creator>
  <cp:keywords/>
  <dc:description/>
  <cp:lastModifiedBy>Hannah Cupps</cp:lastModifiedBy>
  <cp:revision>23</cp:revision>
  <dcterms:created xsi:type="dcterms:W3CDTF">2023-07-14T20:11:00Z</dcterms:created>
  <dcterms:modified xsi:type="dcterms:W3CDTF">2023-07-17T15:11:00Z</dcterms:modified>
</cp:coreProperties>
</file>